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32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Pr="00F04516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5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ОБЩЕСТВЕННЫЙ ОТЧЕТ </w:t>
      </w:r>
    </w:p>
    <w:p w:rsidR="00481DC2" w:rsidRPr="00F04516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16">
        <w:rPr>
          <w:rFonts w:ascii="Times New Roman" w:hAnsi="Times New Roman" w:cs="Times New Roman"/>
          <w:b/>
          <w:sz w:val="24"/>
          <w:szCs w:val="24"/>
        </w:rPr>
        <w:t xml:space="preserve">УПРАВЛЕНИЯ ИМУЩЕСТВЕННЫХ ОТНОШЕНИЙ  </w:t>
      </w:r>
    </w:p>
    <w:p w:rsidR="00481DC2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16">
        <w:rPr>
          <w:rFonts w:ascii="Times New Roman" w:hAnsi="Times New Roman" w:cs="Times New Roman"/>
          <w:b/>
          <w:sz w:val="24"/>
          <w:szCs w:val="24"/>
        </w:rPr>
        <w:t>БЕЛОЗЕРСКОГО МУНИЦИПАЛЬНОГО РАЙОНА</w:t>
      </w:r>
    </w:p>
    <w:p w:rsidR="00481DC2" w:rsidRPr="00F04516" w:rsidRDefault="00481DC2" w:rsidP="00481DC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Pr="00C9676C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Белозерского муниципального района (далее – Управление) является органом местного самоуправления района в сфере  управления и распоряжения имуществом, находящимся в собственности </w:t>
      </w:r>
      <w:r>
        <w:rPr>
          <w:rFonts w:ascii="Times New Roman" w:hAnsi="Times New Roman" w:cs="Times New Roman"/>
          <w:sz w:val="24"/>
          <w:szCs w:val="24"/>
        </w:rPr>
        <w:t>Белозерского   муниципального района</w:t>
      </w:r>
      <w:r w:rsidRPr="00C9676C">
        <w:rPr>
          <w:rFonts w:ascii="Times New Roman" w:hAnsi="Times New Roman" w:cs="Times New Roman"/>
          <w:sz w:val="24"/>
          <w:szCs w:val="24"/>
        </w:rPr>
        <w:t>, и земельных отношений.</w:t>
      </w:r>
    </w:p>
    <w:p w:rsidR="00481DC2" w:rsidRPr="00C9676C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Управление является самостоятельным юридическим лицом, подчиняется Главе р</w:t>
      </w:r>
      <w:r>
        <w:rPr>
          <w:rFonts w:ascii="Times New Roman" w:hAnsi="Times New Roman" w:cs="Times New Roman"/>
          <w:sz w:val="24"/>
          <w:szCs w:val="24"/>
        </w:rPr>
        <w:t>айона и подотчетно П</w:t>
      </w:r>
      <w:r w:rsidRPr="00C9676C">
        <w:rPr>
          <w:rFonts w:ascii="Times New Roman" w:hAnsi="Times New Roman" w:cs="Times New Roman"/>
          <w:sz w:val="24"/>
          <w:szCs w:val="24"/>
        </w:rPr>
        <w:t>редставительному Собранию Белозерского муниципального района.</w:t>
      </w:r>
    </w:p>
    <w:p w:rsidR="00481DC2" w:rsidRPr="00C9676C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 В соответствии с Уставом района ст.3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676C">
        <w:rPr>
          <w:rFonts w:ascii="Times New Roman" w:hAnsi="Times New Roman" w:cs="Times New Roman"/>
          <w:sz w:val="24"/>
          <w:szCs w:val="24"/>
        </w:rPr>
        <w:t xml:space="preserve">, решением Представительного Собрания  Белозерского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676C">
        <w:rPr>
          <w:rFonts w:ascii="Times New Roman" w:hAnsi="Times New Roman" w:cs="Times New Roman"/>
          <w:sz w:val="24"/>
          <w:szCs w:val="24"/>
        </w:rPr>
        <w:t>района №35 от 17.04.2012г.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дополнениями),</w:t>
      </w:r>
      <w:r w:rsidRPr="00C9676C">
        <w:rPr>
          <w:rFonts w:ascii="Times New Roman" w:hAnsi="Times New Roman" w:cs="Times New Roman"/>
          <w:sz w:val="24"/>
          <w:szCs w:val="24"/>
        </w:rPr>
        <w:t xml:space="preserve"> Управление наделено собственными полномочиями по решению вопросов местного значения района: </w:t>
      </w:r>
    </w:p>
    <w:p w:rsidR="00481DC2" w:rsidRPr="00C9676C" w:rsidRDefault="00481DC2" w:rsidP="00481DC2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-управление и распоряжение муниципальной собственностью района;</w:t>
      </w:r>
    </w:p>
    <w:p w:rsidR="00481DC2" w:rsidRPr="00C9676C" w:rsidRDefault="00481DC2" w:rsidP="00481DC2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-утверждени</w:t>
      </w:r>
      <w:r>
        <w:rPr>
          <w:sz w:val="24"/>
          <w:szCs w:val="24"/>
        </w:rPr>
        <w:t>е</w:t>
      </w:r>
      <w:r w:rsidRPr="00C9676C">
        <w:rPr>
          <w:sz w:val="24"/>
          <w:szCs w:val="24"/>
        </w:rPr>
        <w:t xml:space="preserve"> прогнозного плана (программ</w:t>
      </w:r>
      <w:r>
        <w:rPr>
          <w:sz w:val="24"/>
          <w:szCs w:val="24"/>
        </w:rPr>
        <w:t>ы</w:t>
      </w:r>
      <w:r w:rsidRPr="00C9676C">
        <w:rPr>
          <w:sz w:val="24"/>
          <w:szCs w:val="24"/>
        </w:rPr>
        <w:t xml:space="preserve">) приватизации на очередной финансовый год, его выполнение и отчетность, </w:t>
      </w:r>
      <w:proofErr w:type="gramStart"/>
      <w:r w:rsidRPr="00C9676C">
        <w:rPr>
          <w:sz w:val="24"/>
          <w:szCs w:val="24"/>
        </w:rPr>
        <w:t>предусмотренных</w:t>
      </w:r>
      <w:proofErr w:type="gramEnd"/>
      <w:r w:rsidRPr="00C9676C">
        <w:rPr>
          <w:sz w:val="24"/>
          <w:szCs w:val="24"/>
        </w:rPr>
        <w:t xml:space="preserve"> действующим законодательством;</w:t>
      </w:r>
    </w:p>
    <w:p w:rsidR="00481DC2" w:rsidRPr="00C9676C" w:rsidRDefault="00481DC2" w:rsidP="00481DC2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-обеспечение принятия нормативных правовых актов по вопросам управления и   распоряжения имуществом района;</w:t>
      </w:r>
    </w:p>
    <w:p w:rsidR="00481DC2" w:rsidRPr="00C9676C" w:rsidRDefault="00481DC2" w:rsidP="00481DC2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-обеспечение осуществлени</w:t>
      </w:r>
      <w:r>
        <w:rPr>
          <w:sz w:val="24"/>
          <w:szCs w:val="24"/>
        </w:rPr>
        <w:t>я</w:t>
      </w:r>
      <w:r w:rsidRPr="00C9676C">
        <w:rPr>
          <w:sz w:val="24"/>
          <w:szCs w:val="24"/>
        </w:rPr>
        <w:t xml:space="preserve"> иных полномочий, предусмотренных Уставом района,   Положением и иными муниципальными правовыми актами района;</w:t>
      </w:r>
    </w:p>
    <w:p w:rsidR="00481DC2" w:rsidRPr="00C9676C" w:rsidRDefault="00481DC2" w:rsidP="00481D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-обеспечение управления и распоряжения земельными участками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76C">
        <w:rPr>
          <w:rFonts w:ascii="Times New Roman" w:hAnsi="Times New Roman" w:cs="Times New Roman"/>
          <w:sz w:val="24"/>
          <w:szCs w:val="24"/>
        </w:rPr>
        <w:t xml:space="preserve"> находящимися в муниципальной собственности, а также осуществления отдельных государственных полномочий: распоряжение землями, находящимися в государственной не разграниченной собственности. </w:t>
      </w:r>
    </w:p>
    <w:p w:rsidR="00481DC2" w:rsidRPr="00C9676C" w:rsidRDefault="00481DC2" w:rsidP="00481DC2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Управление ставит перед собой следующие цели:</w:t>
      </w:r>
    </w:p>
    <w:p w:rsidR="00481DC2" w:rsidRPr="00C9676C" w:rsidRDefault="00481DC2" w:rsidP="00481DC2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увеличение доходов районного бюджета на основе эффективного управления  муниципальной собственностью Белозерского района;</w:t>
      </w:r>
    </w:p>
    <w:p w:rsidR="00481DC2" w:rsidRPr="00C9676C" w:rsidRDefault="00481DC2" w:rsidP="00481DC2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вовлечение в оборот максимального количества объектов муниципальной  собственности;</w:t>
      </w:r>
    </w:p>
    <w:p w:rsidR="00481DC2" w:rsidRPr="00C9676C" w:rsidRDefault="00481DC2" w:rsidP="00481DC2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использование муниципальной собственности Белозерского района в качестве  инструмента для привлечения инвестиций в экономику района;</w:t>
      </w:r>
    </w:p>
    <w:p w:rsidR="00481DC2" w:rsidRPr="00C9676C" w:rsidRDefault="00481DC2" w:rsidP="00481DC2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 xml:space="preserve">вовлечение в оборот максимального количества объектов недвижимости, в том числе земельных участков, принадлежащих гражданам, юридическим лицам, бесхозяйных объектов недвижимости в целях увеличения налогооблагаемой базы. </w:t>
      </w:r>
    </w:p>
    <w:p w:rsidR="00481DC2" w:rsidRPr="00C9676C" w:rsidRDefault="00481DC2" w:rsidP="00481DC2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 xml:space="preserve">Для выполнения задач и </w:t>
      </w:r>
      <w:proofErr w:type="gramStart"/>
      <w:r w:rsidRPr="00C9676C">
        <w:rPr>
          <w:sz w:val="24"/>
          <w:szCs w:val="24"/>
        </w:rPr>
        <w:t>достижения</w:t>
      </w:r>
      <w:proofErr w:type="gramEnd"/>
      <w:r>
        <w:rPr>
          <w:sz w:val="24"/>
          <w:szCs w:val="24"/>
        </w:rPr>
        <w:t xml:space="preserve"> </w:t>
      </w:r>
      <w:r w:rsidRPr="00C9676C">
        <w:rPr>
          <w:sz w:val="24"/>
          <w:szCs w:val="24"/>
        </w:rPr>
        <w:t>поставленных целей Управление</w:t>
      </w:r>
      <w:r>
        <w:rPr>
          <w:sz w:val="24"/>
          <w:szCs w:val="24"/>
        </w:rPr>
        <w:t>,</w:t>
      </w:r>
      <w:r w:rsidRPr="00C9676C">
        <w:rPr>
          <w:sz w:val="24"/>
          <w:szCs w:val="24"/>
        </w:rPr>
        <w:t xml:space="preserve"> в  соответствии с Положением об Управлении</w:t>
      </w:r>
      <w:r>
        <w:rPr>
          <w:sz w:val="24"/>
          <w:szCs w:val="24"/>
        </w:rPr>
        <w:t>,</w:t>
      </w:r>
      <w:r w:rsidRPr="00C9676C">
        <w:rPr>
          <w:sz w:val="24"/>
          <w:szCs w:val="24"/>
        </w:rPr>
        <w:t xml:space="preserve"> осуществляет следующие функции (полномочия):</w:t>
      </w:r>
    </w:p>
    <w:p w:rsidR="00481DC2" w:rsidRPr="00C9676C" w:rsidRDefault="00481DC2" w:rsidP="00481DC2">
      <w:pPr>
        <w:ind w:firstLine="540"/>
        <w:jc w:val="both"/>
        <w:outlineLvl w:val="1"/>
        <w:rPr>
          <w:sz w:val="24"/>
          <w:szCs w:val="24"/>
        </w:rPr>
      </w:pPr>
      <w:r w:rsidRPr="00C9676C">
        <w:rPr>
          <w:sz w:val="24"/>
          <w:szCs w:val="24"/>
        </w:rPr>
        <w:t>- ведет Реестр объектов собственности Белозерского муниципального района</w:t>
      </w:r>
      <w:r>
        <w:rPr>
          <w:sz w:val="24"/>
          <w:szCs w:val="24"/>
        </w:rPr>
        <w:t>,</w:t>
      </w:r>
      <w:r w:rsidRPr="00C9676C">
        <w:rPr>
          <w:sz w:val="24"/>
          <w:szCs w:val="24"/>
        </w:rPr>
        <w:t xml:space="preserve"> в т</w:t>
      </w:r>
      <w:r>
        <w:rPr>
          <w:sz w:val="24"/>
          <w:szCs w:val="24"/>
        </w:rPr>
        <w:t>ом числе</w:t>
      </w:r>
      <w:r w:rsidRPr="00C9676C">
        <w:rPr>
          <w:sz w:val="24"/>
          <w:szCs w:val="24"/>
        </w:rPr>
        <w:t xml:space="preserve"> казны Белозерского муниципального района, с подготовкой соответствующей  отчетности;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6C">
        <w:rPr>
          <w:rFonts w:ascii="Times New Roman" w:hAnsi="Times New Roman" w:cs="Times New Roman"/>
          <w:sz w:val="24"/>
          <w:szCs w:val="24"/>
        </w:rPr>
        <w:t>- осуществляет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676C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676C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имущественных прав Белозерского муниципального района, перехода имущественных прав к (от) Белозерскому (</w:t>
      </w:r>
      <w:proofErr w:type="spellStart"/>
      <w:r w:rsidRPr="00C967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676C">
        <w:rPr>
          <w:rFonts w:ascii="Times New Roman" w:hAnsi="Times New Roman" w:cs="Times New Roman"/>
          <w:sz w:val="24"/>
          <w:szCs w:val="24"/>
        </w:rPr>
        <w:t>)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6C">
        <w:rPr>
          <w:rFonts w:ascii="Times New Roman" w:hAnsi="Times New Roman" w:cs="Times New Roman"/>
          <w:sz w:val="24"/>
          <w:szCs w:val="24"/>
        </w:rPr>
        <w:t>(а), а также государственной регистрации заключаемых договоров в соответствии с требованиями действующего законодательства;</w:t>
      </w:r>
      <w:proofErr w:type="gramEnd"/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готовит и в установленном порядке направляет перечни объектов муниципальной собственности района, передаваемых в областную, федеральную собственность, в   собственность городского и сельских поселений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готовит документы по приему объектов областной, федеральной собственности, а также имущества иных форм собственности в муниципальную собственность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осуществляет подготовку документов для постановки на бесхозяйный учет  </w:t>
      </w:r>
      <w:r w:rsidRPr="00C9676C">
        <w:rPr>
          <w:rFonts w:ascii="Times New Roman" w:hAnsi="Times New Roman" w:cs="Times New Roman"/>
          <w:sz w:val="24"/>
          <w:szCs w:val="24"/>
        </w:rPr>
        <w:lastRenderedPageBreak/>
        <w:t>имущества, с дальнейшим признанием права собственности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передачу муниципального имущества с баланса на баланс, списание,  передачу в залог, внесению в качестве вклада в уставные капиталы юридических лиц;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передачу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676C">
        <w:rPr>
          <w:rFonts w:ascii="Times New Roman" w:hAnsi="Times New Roman" w:cs="Times New Roman"/>
          <w:sz w:val="24"/>
          <w:szCs w:val="24"/>
        </w:rPr>
        <w:t xml:space="preserve"> имущество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6C">
        <w:rPr>
          <w:rFonts w:ascii="Times New Roman" w:hAnsi="Times New Roman" w:cs="Times New Roman"/>
          <w:sz w:val="24"/>
          <w:szCs w:val="24"/>
        </w:rPr>
        <w:t>в аренду, в безвозмездное пользование;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заключает, вносит изменения и расторгает договоры об использовании муниципального имущества, закрепленного на праве хозяйственного ведения, оперативного управления, договоры доверительного управления, безвозмездного пользования, хранения, иных договоров, связанных с использованием объектов муниципальной собственности района (имущества);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согласовывает или отказывает в согласовании в установленном порядке сдачу в  аренду и субаренду муниципального имущества;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 контроль (в различных формах) за использованием по назначению и обеспечением сохранности муниципального имущества;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организует работу по разработке, реализации прогнозного плана (программы) приватизации имущества района и отчетности по нему; 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полномочия</w:t>
      </w:r>
      <w:r>
        <w:rPr>
          <w:rFonts w:ascii="Times New Roman" w:hAnsi="Times New Roman" w:cs="Times New Roman"/>
          <w:sz w:val="24"/>
          <w:szCs w:val="24"/>
        </w:rPr>
        <w:t xml:space="preserve"> в сфере земельных отношений</w:t>
      </w:r>
      <w:r w:rsidRPr="00C9676C">
        <w:rPr>
          <w:rFonts w:ascii="Times New Roman" w:hAnsi="Times New Roman" w:cs="Times New Roman"/>
          <w:sz w:val="24"/>
          <w:szCs w:val="24"/>
        </w:rPr>
        <w:t>, в том числе в сфере  оборота земель сельскохозяйственного назначения;</w:t>
      </w: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управление, распоряжение земельными ресурсами в установленном  порядке, в том числе по предоставлению их на праве постоянного (бессрочного) пользования, по продаже (отказе в продаже) земельных участков, инициирует проведение  земельного контроля;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6C">
        <w:rPr>
          <w:rFonts w:ascii="Times New Roman" w:hAnsi="Times New Roman" w:cs="Times New Roman"/>
          <w:sz w:val="24"/>
          <w:szCs w:val="24"/>
        </w:rPr>
        <w:t>заключает договоры о предоставлении земельных участков в аренду, в  собственность, оформляет иные документы по вопросам земельных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76C">
        <w:rPr>
          <w:rFonts w:ascii="Times New Roman" w:hAnsi="Times New Roman" w:cs="Times New Roman"/>
          <w:sz w:val="24"/>
          <w:szCs w:val="24"/>
        </w:rPr>
        <w:t xml:space="preserve"> отнесенны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9676C">
        <w:rPr>
          <w:rFonts w:ascii="Times New Roman" w:hAnsi="Times New Roman" w:cs="Times New Roman"/>
          <w:sz w:val="24"/>
          <w:szCs w:val="24"/>
        </w:rPr>
        <w:t xml:space="preserve"> к компетенции Управления;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proofErr w:type="gramStart"/>
      <w:r w:rsidRPr="00C96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76C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за землю, имущество;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C9676C">
        <w:rPr>
          <w:rFonts w:ascii="Times New Roman" w:hAnsi="Times New Roman" w:cs="Times New Roman"/>
          <w:sz w:val="24"/>
          <w:szCs w:val="24"/>
        </w:rPr>
        <w:t xml:space="preserve"> и проводит в установленном порядке торги, аукционы, конкурс</w:t>
      </w:r>
      <w:r>
        <w:rPr>
          <w:rFonts w:ascii="Times New Roman" w:hAnsi="Times New Roman" w:cs="Times New Roman"/>
          <w:sz w:val="24"/>
          <w:szCs w:val="24"/>
        </w:rPr>
        <w:t>ы по продаже земельных участков</w:t>
      </w:r>
      <w:r w:rsidRPr="00C9676C">
        <w:rPr>
          <w:rFonts w:ascii="Times New Roman" w:hAnsi="Times New Roman" w:cs="Times New Roman"/>
          <w:sz w:val="24"/>
          <w:szCs w:val="24"/>
        </w:rPr>
        <w:t>, иму</w:t>
      </w:r>
      <w:r>
        <w:rPr>
          <w:rFonts w:ascii="Times New Roman" w:hAnsi="Times New Roman" w:cs="Times New Roman"/>
          <w:sz w:val="24"/>
          <w:szCs w:val="24"/>
        </w:rPr>
        <w:t>щества района, права аренды</w:t>
      </w:r>
      <w:r w:rsidRPr="00C9676C">
        <w:rPr>
          <w:rFonts w:ascii="Times New Roman" w:hAnsi="Times New Roman" w:cs="Times New Roman"/>
          <w:sz w:val="24"/>
          <w:szCs w:val="24"/>
        </w:rPr>
        <w:t xml:space="preserve"> на заключение договора на установку и эксплуатацию рекламных конструкций на земельном участке или ином  муниципальном имуществе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выполняет функции продавца объектов муниципальной собственности района,  заключает сделки купли продажи объектов муниципальной собственности;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разрабатывает проекты муниципальных правовых актов по вопросам, отнесенным к компетенции Управления;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рассматривает обращения граждан и юридических лиц по вопросам, относящимся к   функциям Управления;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готовит запросы для осуществления своих контрольных функций от органов государственной власти, органов местного самоуправления, организаций и граждан необходимую информацию и документы; 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рассматривает и согласовывает проекты муниципальных правовых актов,  затрагивающих вопросы, отнесенные к компетенции Управления;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обращается в суды с исками и выступает в судах в защиту имущественных и иных  прав и законных интересов района, связанных с реализуемыми Управлением задачами, функциями  (полномочиями);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представляет интересы района в органах регистрации прав на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сделок с ним</w:t>
      </w:r>
      <w:r w:rsidRPr="00C9676C">
        <w:rPr>
          <w:rFonts w:ascii="Times New Roman" w:hAnsi="Times New Roman" w:cs="Times New Roman"/>
          <w:sz w:val="24"/>
          <w:szCs w:val="24"/>
        </w:rPr>
        <w:t>, в органах земельной кадастровой палаты, получает необходимые справки, документы с правом подачи  заявления и получения свидетельств о государственной регистрации прав и всех  зарегистрированных документов;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методическую помощь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76C">
        <w:rPr>
          <w:rFonts w:ascii="Times New Roman" w:hAnsi="Times New Roman" w:cs="Times New Roman"/>
          <w:sz w:val="24"/>
          <w:szCs w:val="24"/>
        </w:rPr>
        <w:t xml:space="preserve"> входящих в состав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76C">
        <w:rPr>
          <w:rFonts w:ascii="Times New Roman" w:hAnsi="Times New Roman" w:cs="Times New Roman"/>
          <w:sz w:val="24"/>
          <w:szCs w:val="24"/>
        </w:rPr>
        <w:t xml:space="preserve"> в пределах полномочий Управления;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функции муниципального заказчика при размещении заказов на поставку товаров, выполнение работ и оказание услуг для нужд района по вопросам  деятельности Управления;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lastRenderedPageBreak/>
        <w:t>- осуществляет бюджетные полномочия главного админист</w:t>
      </w:r>
      <w:r>
        <w:rPr>
          <w:rFonts w:ascii="Times New Roman" w:hAnsi="Times New Roman" w:cs="Times New Roman"/>
          <w:sz w:val="24"/>
          <w:szCs w:val="24"/>
        </w:rPr>
        <w:t>ратора доходов бюджета района</w:t>
      </w:r>
      <w:r w:rsidRPr="00C9676C">
        <w:rPr>
          <w:rFonts w:ascii="Times New Roman" w:hAnsi="Times New Roman" w:cs="Times New Roman"/>
          <w:sz w:val="24"/>
          <w:szCs w:val="24"/>
        </w:rPr>
        <w:t>, главного распорядителя и получателя средств районного бюджета, в том числе функции главного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76C">
        <w:rPr>
          <w:rFonts w:ascii="Times New Roman" w:hAnsi="Times New Roman" w:cs="Times New Roman"/>
          <w:sz w:val="24"/>
          <w:szCs w:val="24"/>
        </w:rPr>
        <w:t xml:space="preserve">источников внутреннего финансирования дефицита  районного бюджета, включая контроль </w:t>
      </w:r>
      <w:proofErr w:type="gramStart"/>
      <w:r w:rsidRPr="00C96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676C">
        <w:rPr>
          <w:rFonts w:ascii="Times New Roman" w:hAnsi="Times New Roman" w:cs="Times New Roman"/>
          <w:sz w:val="24"/>
          <w:szCs w:val="24"/>
        </w:rPr>
        <w:t>: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поступлением в районный бюджет отчислений от прибыли муниципальных  предприятий;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 поступлением в районный бюджет арендной платы за пользование имуществом  казны района, имуществом, находящимся в оперативном управлении казенных учреждений района и органов местного самоуправления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поступлением в районный  бюджет  средств от  использования, продажи земельных участков, находящихся в собственности района, а также в государственной  неразграниченной  собственности на  территории  Белозерского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поступлением в районный  бюджет средств от приватизации имущества района;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перечислением в районный бюджет дивидендов по находящимся в собственности  района акциям;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порядке доступ к информации о деятельности Управления  и  защиту такой  информации, а также размещение информации об оказании   муниципальных услуг, предоставляемых Управлением, в </w:t>
      </w:r>
      <w:proofErr w:type="spellStart"/>
      <w:r w:rsidRPr="00C9676C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C9676C">
        <w:rPr>
          <w:rFonts w:ascii="Times New Roman" w:hAnsi="Times New Roman" w:cs="Times New Roman"/>
          <w:sz w:val="24"/>
          <w:szCs w:val="24"/>
        </w:rPr>
        <w:t xml:space="preserve"> и на Портале  государственных и муниципальных услуг (функций) области;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ш</w:t>
      </w:r>
      <w:r w:rsidRPr="00C9676C">
        <w:rPr>
          <w:rFonts w:ascii="Times New Roman" w:hAnsi="Times New Roman" w:cs="Times New Roman"/>
          <w:sz w:val="24"/>
          <w:szCs w:val="24"/>
        </w:rPr>
        <w:t xml:space="preserve">татным расписанием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9676C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676C">
        <w:rPr>
          <w:rFonts w:ascii="Times New Roman" w:hAnsi="Times New Roman" w:cs="Times New Roman"/>
          <w:sz w:val="24"/>
          <w:szCs w:val="24"/>
        </w:rPr>
        <w:t xml:space="preserve"> должностей муниципальной  службы, занятость 100%, средний возраст муниципальных служащих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C9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C9676C">
        <w:rPr>
          <w:rFonts w:ascii="Times New Roman" w:hAnsi="Times New Roman" w:cs="Times New Roman"/>
          <w:sz w:val="24"/>
          <w:szCs w:val="24"/>
        </w:rPr>
        <w:t>100% имеют высшее образование.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В целях поддержания уровня квалификации, необходимого для надлежащего  исполнения должностных обязанностей, муниципальные служащие Управления  принимаю</w:t>
      </w:r>
      <w:r>
        <w:rPr>
          <w:rFonts w:ascii="Times New Roman" w:hAnsi="Times New Roman" w:cs="Times New Roman"/>
          <w:sz w:val="24"/>
          <w:szCs w:val="24"/>
        </w:rPr>
        <w:t>т участие в семинарах</w:t>
      </w:r>
      <w:r w:rsidRPr="00C9676C">
        <w:rPr>
          <w:rFonts w:ascii="Times New Roman" w:hAnsi="Times New Roman" w:cs="Times New Roman"/>
          <w:sz w:val="24"/>
          <w:szCs w:val="24"/>
        </w:rPr>
        <w:t>, конференциях, активно используют формы самообразования.</w:t>
      </w: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Ведение Реестра собственности   </w:t>
      </w:r>
    </w:p>
    <w:p w:rsidR="00481DC2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C">
        <w:rPr>
          <w:rFonts w:ascii="Times New Roman" w:hAnsi="Times New Roman" w:cs="Times New Roman"/>
          <w:b/>
          <w:sz w:val="24"/>
          <w:szCs w:val="24"/>
        </w:rPr>
        <w:t xml:space="preserve">Белозерского муниципального района </w:t>
      </w:r>
    </w:p>
    <w:p w:rsidR="00481DC2" w:rsidRPr="00C9676C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Pr="00C9676C" w:rsidRDefault="00481DC2" w:rsidP="00481D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6C">
        <w:rPr>
          <w:rFonts w:ascii="Times New Roman" w:hAnsi="Times New Roman" w:cs="Times New Roman"/>
          <w:sz w:val="24"/>
          <w:szCs w:val="24"/>
        </w:rPr>
        <w:t>С целью учета имущества района и предоставления сведений о нем Управлением осуществляется ведение информационной системы «Реестр собственности Белозерского   муниципального района» в соответствии с «Положением об управлении  и  распоряжении муниципальной собственностью Белозерского муниципального района», утвержденным решением Белозерского комитета районного самоуправления от 16.12.2005 года  № 235 (в редакции решения Представительного Собрания Белозерского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67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67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967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7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64,</w:t>
      </w:r>
      <w:r w:rsidRPr="00C9676C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дополнениями).</w:t>
      </w:r>
      <w:proofErr w:type="gramEnd"/>
    </w:p>
    <w:p w:rsidR="00481DC2" w:rsidRDefault="00481DC2" w:rsidP="00481D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9676C">
        <w:rPr>
          <w:rFonts w:ascii="Times New Roman" w:hAnsi="Times New Roman" w:cs="Times New Roman"/>
          <w:sz w:val="24"/>
          <w:szCs w:val="24"/>
        </w:rPr>
        <w:t xml:space="preserve"> Реестре собственности Белозерского муниципального района числится </w:t>
      </w:r>
      <w:r>
        <w:rPr>
          <w:rFonts w:ascii="Times New Roman" w:hAnsi="Times New Roman" w:cs="Times New Roman"/>
          <w:sz w:val="24"/>
          <w:szCs w:val="24"/>
        </w:rPr>
        <w:t>2 муниципальных предприятия (МУП «Белозерское АТП» (в стадии ликвидации),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»),</w:t>
      </w:r>
      <w:r w:rsidRPr="00C9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725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4A1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4A1">
        <w:rPr>
          <w:rFonts w:ascii="Times New Roman" w:hAnsi="Times New Roman" w:cs="Times New Roman"/>
          <w:sz w:val="24"/>
          <w:szCs w:val="24"/>
        </w:rPr>
        <w:t xml:space="preserve">, использующих муниципальное имущество на праве оперативного управления, в </w:t>
      </w:r>
      <w:proofErr w:type="spellStart"/>
      <w:r w:rsidRPr="005B24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B24A1">
        <w:rPr>
          <w:rFonts w:ascii="Times New Roman" w:hAnsi="Times New Roman" w:cs="Times New Roman"/>
          <w:sz w:val="24"/>
          <w:szCs w:val="24"/>
        </w:rPr>
        <w:t>.: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24A1">
        <w:rPr>
          <w:rFonts w:ascii="Times New Roman" w:hAnsi="Times New Roman" w:cs="Times New Roman"/>
          <w:sz w:val="24"/>
          <w:szCs w:val="24"/>
        </w:rPr>
        <w:t xml:space="preserve"> бюджетных,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24A1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Pr="00F66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6638D">
        <w:rPr>
          <w:rFonts w:ascii="Times New Roman" w:hAnsi="Times New Roman" w:cs="Times New Roman"/>
          <w:sz w:val="24"/>
          <w:szCs w:val="24"/>
        </w:rPr>
        <w:t>здания, сооружения, незавершенные строительством объекты, движимое имущество, сети, дороги</w:t>
      </w:r>
      <w:r>
        <w:rPr>
          <w:rFonts w:ascii="Times New Roman" w:hAnsi="Times New Roman" w:cs="Times New Roman"/>
          <w:sz w:val="24"/>
          <w:szCs w:val="24"/>
        </w:rPr>
        <w:t>, находящиеся в собственности района</w:t>
      </w:r>
      <w:r w:rsidRPr="00F66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1DC2" w:rsidRPr="00725581" w:rsidRDefault="00481DC2" w:rsidP="00481DC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1DC2" w:rsidRPr="00F310D5" w:rsidRDefault="00481DC2" w:rsidP="00481DC2">
      <w:pPr>
        <w:overflowPunct/>
        <w:ind w:firstLine="567"/>
        <w:jc w:val="both"/>
        <w:textAlignment w:val="auto"/>
        <w:rPr>
          <w:b/>
          <w:sz w:val="24"/>
          <w:szCs w:val="24"/>
        </w:rPr>
      </w:pPr>
      <w:r w:rsidRPr="00F310D5">
        <w:rPr>
          <w:sz w:val="24"/>
          <w:szCs w:val="24"/>
        </w:rPr>
        <w:t xml:space="preserve">           </w:t>
      </w:r>
      <w:r w:rsidRPr="00F310D5">
        <w:rPr>
          <w:b/>
          <w:sz w:val="24"/>
          <w:szCs w:val="24"/>
        </w:rPr>
        <w:t xml:space="preserve">Управление и распоряжение муниципальным имуществом </w:t>
      </w:r>
    </w:p>
    <w:p w:rsidR="00481DC2" w:rsidRPr="00F310D5" w:rsidRDefault="00481DC2" w:rsidP="00481D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C2" w:rsidRPr="00F310D5" w:rsidRDefault="00481DC2" w:rsidP="00481DC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0D5">
        <w:rPr>
          <w:rFonts w:ascii="Times New Roman" w:hAnsi="Times New Roman" w:cs="Times New Roman"/>
          <w:sz w:val="24"/>
          <w:szCs w:val="24"/>
        </w:rPr>
        <w:t>В течение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0D5">
        <w:rPr>
          <w:rFonts w:ascii="Times New Roman" w:hAnsi="Times New Roman" w:cs="Times New Roman"/>
          <w:sz w:val="24"/>
          <w:szCs w:val="24"/>
        </w:rPr>
        <w:t xml:space="preserve"> в рамках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0D5">
        <w:rPr>
          <w:rFonts w:ascii="Times New Roman" w:hAnsi="Times New Roman" w:cs="Times New Roman"/>
          <w:sz w:val="24"/>
          <w:szCs w:val="24"/>
        </w:rPr>
        <w:t xml:space="preserve"> в собственность района</w:t>
      </w:r>
    </w:p>
    <w:p w:rsidR="00481DC2" w:rsidRPr="00F310D5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10D5">
        <w:rPr>
          <w:rFonts w:ascii="Times New Roman" w:hAnsi="Times New Roman" w:cs="Times New Roman"/>
          <w:sz w:val="24"/>
          <w:szCs w:val="24"/>
        </w:rPr>
        <w:t>принято следующее имущество:</w:t>
      </w:r>
    </w:p>
    <w:p w:rsidR="00481DC2" w:rsidRPr="00F310D5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10D5">
        <w:rPr>
          <w:rFonts w:ascii="Times New Roman" w:hAnsi="Times New Roman" w:cs="Times New Roman"/>
          <w:sz w:val="24"/>
          <w:szCs w:val="24"/>
        </w:rPr>
        <w:t>- имущество коммунальной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10D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310D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F3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D5">
        <w:rPr>
          <w:rFonts w:ascii="Times New Roman" w:hAnsi="Times New Roman" w:cs="Times New Roman"/>
          <w:sz w:val="24"/>
          <w:szCs w:val="24"/>
        </w:rPr>
        <w:t>Артюшинского</w:t>
      </w:r>
      <w:proofErr w:type="spellEnd"/>
      <w:r w:rsidRPr="00F3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D5">
        <w:rPr>
          <w:rFonts w:ascii="Times New Roman" w:hAnsi="Times New Roman" w:cs="Times New Roman"/>
          <w:sz w:val="24"/>
          <w:szCs w:val="24"/>
        </w:rPr>
        <w:t>Куностьского</w:t>
      </w:r>
      <w:proofErr w:type="spellEnd"/>
      <w:r w:rsidRPr="00F310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310D5">
        <w:rPr>
          <w:rFonts w:ascii="Times New Roman" w:hAnsi="Times New Roman" w:cs="Times New Roman"/>
          <w:sz w:val="24"/>
          <w:szCs w:val="24"/>
        </w:rPr>
        <w:t>Шольского</w:t>
      </w:r>
      <w:proofErr w:type="spellEnd"/>
      <w:r w:rsidRPr="00F310D5">
        <w:rPr>
          <w:rFonts w:ascii="Times New Roman" w:hAnsi="Times New Roman" w:cs="Times New Roman"/>
          <w:sz w:val="24"/>
          <w:szCs w:val="24"/>
        </w:rPr>
        <w:t xml:space="preserve"> с/поселений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0D5">
        <w:rPr>
          <w:rFonts w:ascii="Times New Roman" w:hAnsi="Times New Roman" w:cs="Times New Roman"/>
          <w:sz w:val="24"/>
          <w:szCs w:val="24"/>
        </w:rPr>
        <w:t xml:space="preserve"> в количестве 24 объектов на сумму 8 634,3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0D5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0D5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F310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10D5">
        <w:rPr>
          <w:rFonts w:ascii="Times New Roman" w:hAnsi="Times New Roman" w:cs="Times New Roman"/>
          <w:sz w:val="24"/>
          <w:szCs w:val="24"/>
        </w:rPr>
        <w:t>. иное движимое имущество);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10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10D5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Pr="00F310D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310D5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с/поселения)</w:t>
      </w:r>
      <w:r w:rsidRPr="00F3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 объекта учета на сумму 8 352,9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с/поселение) в количестве 25 на сумму 0,025 тыс. рублей.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в собственность областное имущество: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Ярмарочные домики на сумму 1 240,0 тыс. рублей;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и сейфы для МФЦ на сумму 46,21 тыс. рублей;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 ПАЗ – 514,63 тыс. рублей;</w:t>
      </w:r>
    </w:p>
    <w:p w:rsidR="00481DC2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 Форд транзит – 2 260,00 тыс. рублей.</w:t>
      </w:r>
    </w:p>
    <w:p w:rsidR="00481DC2" w:rsidRPr="00F310D5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принято в собственность района имущества на сумму 21 048,06 тыс. рублей. </w:t>
      </w:r>
    </w:p>
    <w:p w:rsidR="00481DC2" w:rsidRPr="00B939BB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BB">
        <w:rPr>
          <w:rFonts w:ascii="Times New Roman" w:hAnsi="Times New Roman" w:cs="Times New Roman"/>
          <w:sz w:val="24"/>
          <w:szCs w:val="24"/>
        </w:rPr>
        <w:t>Из собственности района передано следующее имущество:</w:t>
      </w:r>
    </w:p>
    <w:p w:rsidR="00481DC2" w:rsidRPr="00B939BB" w:rsidRDefault="00481DC2" w:rsidP="00481DC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39BB">
        <w:rPr>
          <w:rFonts w:ascii="Times New Roman" w:hAnsi="Times New Roman" w:cs="Times New Roman"/>
          <w:sz w:val="24"/>
          <w:szCs w:val="24"/>
        </w:rPr>
        <w:t>- в федеральную собственность (для Почты России) – здание с земельным участком на сумму 29,37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9BB">
        <w:rPr>
          <w:rFonts w:ascii="Times New Roman" w:hAnsi="Times New Roman" w:cs="Times New Roman"/>
          <w:sz w:val="24"/>
          <w:szCs w:val="24"/>
        </w:rPr>
        <w:t>рублей;</w:t>
      </w:r>
    </w:p>
    <w:p w:rsidR="00481DC2" w:rsidRPr="00B939BB" w:rsidRDefault="00481DC2" w:rsidP="00481D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BB">
        <w:rPr>
          <w:rFonts w:ascii="Times New Roman" w:hAnsi="Times New Roman" w:cs="Times New Roman"/>
          <w:sz w:val="24"/>
          <w:szCs w:val="24"/>
        </w:rPr>
        <w:t>- в областную собственность (для ЦРБ) передано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9BB">
        <w:rPr>
          <w:rFonts w:ascii="Times New Roman" w:hAnsi="Times New Roman" w:cs="Times New Roman"/>
          <w:sz w:val="24"/>
          <w:szCs w:val="24"/>
        </w:rPr>
        <w:t>здание с земельным участком на сумму 10 028,39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9BB">
        <w:rPr>
          <w:rFonts w:ascii="Times New Roman" w:hAnsi="Times New Roman" w:cs="Times New Roman"/>
          <w:sz w:val="24"/>
          <w:szCs w:val="24"/>
        </w:rPr>
        <w:t>рублей.</w:t>
      </w:r>
    </w:p>
    <w:p w:rsidR="00481DC2" w:rsidRPr="00B939BB" w:rsidRDefault="00481DC2" w:rsidP="00481D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BB">
        <w:rPr>
          <w:rFonts w:ascii="Times New Roman" w:hAnsi="Times New Roman" w:cs="Times New Roman"/>
          <w:sz w:val="24"/>
          <w:szCs w:val="24"/>
        </w:rPr>
        <w:t>Всего передано имущества на сумму – 10 057,76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9B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B939BB">
        <w:rPr>
          <w:rFonts w:ascii="Times New Roman" w:hAnsi="Times New Roman" w:cs="Times New Roman"/>
          <w:sz w:val="24"/>
          <w:szCs w:val="24"/>
        </w:rPr>
        <w:t>.</w:t>
      </w:r>
    </w:p>
    <w:p w:rsidR="00481DC2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481DC2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Аренда муниципального имущества </w:t>
      </w:r>
    </w:p>
    <w:p w:rsidR="00481DC2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481DC2" w:rsidRDefault="00481DC2" w:rsidP="00481DC2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7C4B">
        <w:rPr>
          <w:rFonts w:eastAsiaTheme="minorHAnsi"/>
          <w:sz w:val="24"/>
          <w:szCs w:val="24"/>
          <w:lang w:eastAsia="en-US"/>
        </w:rPr>
        <w:t>Основными задачами в данном направлении являются вовлечение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 xml:space="preserve">хозяйственный оборот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027C4B">
        <w:rPr>
          <w:rFonts w:eastAsiaTheme="minorHAnsi"/>
          <w:sz w:val="24"/>
          <w:szCs w:val="24"/>
          <w:lang w:eastAsia="en-US"/>
        </w:rPr>
        <w:t xml:space="preserve"> имущества,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>используем</w:t>
      </w:r>
      <w:r>
        <w:rPr>
          <w:rFonts w:eastAsiaTheme="minorHAnsi"/>
          <w:sz w:val="24"/>
          <w:szCs w:val="24"/>
          <w:lang w:eastAsia="en-US"/>
        </w:rPr>
        <w:t>ого</w:t>
      </w:r>
      <w:r w:rsidRPr="00027C4B">
        <w:rPr>
          <w:rFonts w:eastAsiaTheme="minorHAnsi"/>
          <w:sz w:val="24"/>
          <w:szCs w:val="24"/>
          <w:lang w:eastAsia="en-US"/>
        </w:rPr>
        <w:t xml:space="preserve"> для исполнения полномочий органов власти </w:t>
      </w:r>
      <w:r>
        <w:rPr>
          <w:rFonts w:eastAsiaTheme="minorHAnsi"/>
          <w:sz w:val="24"/>
          <w:szCs w:val="24"/>
          <w:lang w:eastAsia="en-US"/>
        </w:rPr>
        <w:t>района</w:t>
      </w:r>
      <w:r w:rsidRPr="00027C4B">
        <w:rPr>
          <w:rFonts w:eastAsiaTheme="minorHAnsi"/>
          <w:sz w:val="24"/>
          <w:szCs w:val="24"/>
          <w:lang w:eastAsia="en-US"/>
        </w:rPr>
        <w:t>, путем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>предоставления в пользование гражданам и юридическим лицам, а также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 xml:space="preserve">обеспечение пополнения доходной части </w:t>
      </w:r>
      <w:r>
        <w:rPr>
          <w:rFonts w:eastAsiaTheme="minorHAnsi"/>
          <w:sz w:val="24"/>
          <w:szCs w:val="24"/>
          <w:lang w:eastAsia="en-US"/>
        </w:rPr>
        <w:t>районного</w:t>
      </w:r>
      <w:r w:rsidRPr="00027C4B">
        <w:rPr>
          <w:rFonts w:eastAsiaTheme="minorHAnsi"/>
          <w:sz w:val="24"/>
          <w:szCs w:val="24"/>
          <w:lang w:eastAsia="en-US"/>
        </w:rPr>
        <w:t xml:space="preserve"> бюджета за счет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>поступлений от сдачи в аренду имущества</w:t>
      </w:r>
      <w:r>
        <w:rPr>
          <w:rFonts w:eastAsiaTheme="minorHAnsi"/>
          <w:sz w:val="24"/>
          <w:szCs w:val="24"/>
          <w:lang w:eastAsia="en-US"/>
        </w:rPr>
        <w:t>.</w:t>
      </w:r>
      <w:r w:rsidRPr="00027C4B">
        <w:rPr>
          <w:rFonts w:eastAsiaTheme="minorHAnsi"/>
          <w:sz w:val="24"/>
          <w:szCs w:val="24"/>
          <w:lang w:eastAsia="en-US"/>
        </w:rPr>
        <w:t xml:space="preserve"> </w:t>
      </w:r>
    </w:p>
    <w:p w:rsidR="00481DC2" w:rsidRDefault="00481DC2" w:rsidP="00481DC2">
      <w:pPr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027C4B">
        <w:rPr>
          <w:rFonts w:eastAsiaTheme="minorHAnsi"/>
          <w:sz w:val="24"/>
          <w:szCs w:val="24"/>
          <w:lang w:eastAsia="en-US"/>
        </w:rPr>
        <w:t>пределени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027C4B">
        <w:rPr>
          <w:rFonts w:eastAsiaTheme="minorHAnsi"/>
          <w:sz w:val="24"/>
          <w:szCs w:val="24"/>
          <w:lang w:eastAsia="en-US"/>
        </w:rPr>
        <w:t xml:space="preserve"> размера арендной платы при сдаче в аренду имущества,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 xml:space="preserve">находящегося в казне </w:t>
      </w:r>
      <w:r>
        <w:rPr>
          <w:rFonts w:eastAsiaTheme="minorHAnsi"/>
          <w:sz w:val="24"/>
          <w:szCs w:val="24"/>
          <w:lang w:eastAsia="en-US"/>
        </w:rPr>
        <w:t>района</w:t>
      </w:r>
      <w:r w:rsidRPr="00027C4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осуществляется </w:t>
      </w:r>
      <w:r w:rsidRPr="00027C4B">
        <w:rPr>
          <w:rFonts w:eastAsiaTheme="minorHAnsi"/>
          <w:sz w:val="24"/>
          <w:szCs w:val="24"/>
          <w:lang w:eastAsia="en-US"/>
        </w:rPr>
        <w:t>на основании независимой оценки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81DC2" w:rsidRPr="0015263A" w:rsidRDefault="00481DC2" w:rsidP="00481DC2">
      <w:pPr>
        <w:overflowPunct/>
        <w:ind w:firstLine="567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895D6E">
        <w:rPr>
          <w:sz w:val="24"/>
          <w:szCs w:val="24"/>
        </w:rPr>
        <w:t>Управление является администратором неналоговых доходов района, в том числе  доходов, поступающих от сдачи имущества в аренду</w:t>
      </w:r>
      <w:r>
        <w:rPr>
          <w:sz w:val="24"/>
          <w:szCs w:val="24"/>
        </w:rPr>
        <w:t>.</w:t>
      </w:r>
    </w:p>
    <w:p w:rsidR="00481DC2" w:rsidRDefault="00481DC2" w:rsidP="00481DC2">
      <w:pPr>
        <w:ind w:firstLine="567"/>
        <w:jc w:val="both"/>
        <w:rPr>
          <w:sz w:val="24"/>
          <w:szCs w:val="24"/>
        </w:rPr>
      </w:pPr>
      <w:r w:rsidRPr="00027C4B">
        <w:rPr>
          <w:rFonts w:eastAsiaTheme="minorHAnsi"/>
          <w:sz w:val="24"/>
          <w:szCs w:val="24"/>
          <w:lang w:eastAsia="en-US"/>
        </w:rPr>
        <w:lastRenderedPageBreak/>
        <w:t xml:space="preserve">Общее количество договоров аренды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027C4B">
        <w:rPr>
          <w:rFonts w:eastAsiaTheme="minorHAnsi"/>
          <w:sz w:val="24"/>
          <w:szCs w:val="24"/>
          <w:lang w:eastAsia="en-US"/>
        </w:rPr>
        <w:t xml:space="preserve"> имущества</w:t>
      </w:r>
      <w:r>
        <w:rPr>
          <w:rFonts w:eastAsiaTheme="minorHAnsi"/>
          <w:sz w:val="24"/>
          <w:szCs w:val="24"/>
          <w:lang w:eastAsia="en-US"/>
        </w:rPr>
        <w:t xml:space="preserve"> снизилось с 18 до 15</w:t>
      </w:r>
      <w:r>
        <w:rPr>
          <w:sz w:val="24"/>
          <w:szCs w:val="24"/>
        </w:rPr>
        <w:t>.</w:t>
      </w:r>
      <w:r w:rsidRPr="00027C4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FB1EBE">
        <w:rPr>
          <w:sz w:val="24"/>
          <w:szCs w:val="24"/>
        </w:rPr>
        <w:t>умм</w:t>
      </w:r>
      <w:r>
        <w:rPr>
          <w:sz w:val="24"/>
          <w:szCs w:val="24"/>
        </w:rPr>
        <w:t>а</w:t>
      </w:r>
      <w:r w:rsidRPr="00FB1EBE">
        <w:rPr>
          <w:sz w:val="24"/>
          <w:szCs w:val="24"/>
        </w:rPr>
        <w:t xml:space="preserve"> доходов районного бюджета от сдачи в аренду имущества района</w:t>
      </w:r>
      <w:r>
        <w:rPr>
          <w:sz w:val="24"/>
          <w:szCs w:val="24"/>
        </w:rPr>
        <w:t xml:space="preserve"> составил 1 752,2 тыс. рублей (в 2016 -1 719,6 тыс. рублей)</w:t>
      </w:r>
      <w:r w:rsidRPr="00FB1EBE">
        <w:rPr>
          <w:sz w:val="24"/>
          <w:szCs w:val="24"/>
        </w:rPr>
        <w:t>.</w:t>
      </w:r>
    </w:p>
    <w:p w:rsidR="00481DC2" w:rsidRDefault="00481DC2" w:rsidP="00481D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действующих договоров аренды и сумма доходов районного бюджета от сдачи в аренду имущества района (кроме земельных участков):</w:t>
      </w:r>
    </w:p>
    <w:p w:rsidR="00481DC2" w:rsidRDefault="00481DC2" w:rsidP="00481DC2">
      <w:pPr>
        <w:ind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733"/>
        <w:gridCol w:w="817"/>
        <w:gridCol w:w="1817"/>
        <w:gridCol w:w="1398"/>
        <w:gridCol w:w="996"/>
        <w:gridCol w:w="1817"/>
        <w:gridCol w:w="1398"/>
      </w:tblGrid>
      <w:tr w:rsidR="00481DC2" w:rsidTr="003A7F3C">
        <w:tc>
          <w:tcPr>
            <w:tcW w:w="595" w:type="dxa"/>
            <w:vMerge w:val="restart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3" w:type="dxa"/>
            <w:vMerge w:val="restart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32" w:type="dxa"/>
            <w:gridSpan w:val="3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  аренды</w:t>
            </w:r>
          </w:p>
        </w:tc>
        <w:tc>
          <w:tcPr>
            <w:tcW w:w="4211" w:type="dxa"/>
            <w:gridSpan w:val="3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 арендной  платы,   тыс. руб.</w:t>
            </w:r>
          </w:p>
        </w:tc>
      </w:tr>
      <w:tr w:rsidR="00481DC2" w:rsidTr="003A7F3C">
        <w:tc>
          <w:tcPr>
            <w:tcW w:w="595" w:type="dxa"/>
            <w:vMerge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 закрепленное  на  праве  оперативного     управления  и  хозяйственного    ведения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 казны района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 закрепленное  на  праве  оперативного     управления  и  хозяйственного    ведения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 казны района</w:t>
            </w:r>
          </w:p>
        </w:tc>
      </w:tr>
      <w:tr w:rsidR="00481DC2" w:rsidTr="003A7F3C">
        <w:tc>
          <w:tcPr>
            <w:tcW w:w="595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1992,08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1175,33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816,75</w:t>
            </w:r>
          </w:p>
        </w:tc>
      </w:tr>
      <w:tr w:rsidR="00481DC2" w:rsidTr="003A7F3C">
        <w:tc>
          <w:tcPr>
            <w:tcW w:w="595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1250,72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743,3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</w:tr>
      <w:tr w:rsidR="00481DC2" w:rsidTr="003A7F3C">
        <w:tc>
          <w:tcPr>
            <w:tcW w:w="595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1962,3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1161,2</w:t>
            </w:r>
          </w:p>
        </w:tc>
      </w:tr>
      <w:tr w:rsidR="00481DC2" w:rsidTr="003A7F3C">
        <w:tc>
          <w:tcPr>
            <w:tcW w:w="595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1657,3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719,00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938,00</w:t>
            </w:r>
          </w:p>
        </w:tc>
      </w:tr>
      <w:tr w:rsidR="00481DC2" w:rsidTr="003A7F3C">
        <w:tc>
          <w:tcPr>
            <w:tcW w:w="595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1719,6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795,8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923,8</w:t>
            </w:r>
          </w:p>
        </w:tc>
      </w:tr>
      <w:tr w:rsidR="00481DC2" w:rsidTr="003A7F3C">
        <w:tc>
          <w:tcPr>
            <w:tcW w:w="595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481DC2" w:rsidRDefault="00481DC2" w:rsidP="003A7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1752,2</w:t>
            </w:r>
          </w:p>
        </w:tc>
        <w:tc>
          <w:tcPr>
            <w:tcW w:w="1817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1398" w:type="dxa"/>
          </w:tcPr>
          <w:p w:rsidR="00481DC2" w:rsidRDefault="00481DC2" w:rsidP="003A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924,7</w:t>
            </w:r>
          </w:p>
        </w:tc>
      </w:tr>
    </w:tbl>
    <w:p w:rsidR="00481DC2" w:rsidRPr="00895D6E" w:rsidRDefault="00481DC2" w:rsidP="00481DC2">
      <w:pPr>
        <w:ind w:firstLine="567"/>
        <w:jc w:val="both"/>
        <w:rPr>
          <w:sz w:val="24"/>
          <w:szCs w:val="24"/>
        </w:rPr>
      </w:pPr>
    </w:p>
    <w:p w:rsidR="00481DC2" w:rsidRDefault="00481DC2" w:rsidP="00481DC2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027C4B">
        <w:rPr>
          <w:rFonts w:eastAsiaTheme="minorHAnsi"/>
          <w:sz w:val="24"/>
          <w:szCs w:val="24"/>
          <w:lang w:eastAsia="en-US"/>
        </w:rPr>
        <w:t>редоставлени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027C4B">
        <w:rPr>
          <w:rFonts w:eastAsiaTheme="minorHAnsi"/>
          <w:sz w:val="24"/>
          <w:szCs w:val="24"/>
          <w:lang w:eastAsia="en-US"/>
        </w:rPr>
        <w:t xml:space="preserve"> в пользование </w:t>
      </w:r>
      <w:r>
        <w:rPr>
          <w:sz w:val="24"/>
          <w:szCs w:val="24"/>
        </w:rPr>
        <w:t xml:space="preserve">муниципального имущества осуществляется и на безвозмездной основе (бюджетным, государственным организациям). На 01.01.2018 действует 58 </w:t>
      </w:r>
      <w:r w:rsidRPr="00895D6E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ов безвозмездного пользования (в 2016 году- 63). </w:t>
      </w:r>
    </w:p>
    <w:p w:rsidR="00481DC2" w:rsidRDefault="00481DC2" w:rsidP="00481DC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81DC2" w:rsidRDefault="00481DC2" w:rsidP="00481DC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D600F2">
        <w:rPr>
          <w:rFonts w:eastAsiaTheme="minorHAnsi"/>
          <w:b/>
          <w:sz w:val="24"/>
          <w:szCs w:val="24"/>
          <w:lang w:eastAsia="en-US"/>
        </w:rPr>
        <w:t xml:space="preserve">Приватизация муниципального имущества </w:t>
      </w:r>
    </w:p>
    <w:p w:rsidR="00481DC2" w:rsidRPr="00D600F2" w:rsidRDefault="00481DC2" w:rsidP="00481DC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81DC2" w:rsidRDefault="00481DC2" w:rsidP="00481DC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2017 году продолжен процесс оптимизации районного имущества, в том числе путем приватизации.</w:t>
      </w:r>
    </w:p>
    <w:p w:rsidR="00481DC2" w:rsidRPr="00D8334A" w:rsidRDefault="00481DC2" w:rsidP="00481DC2">
      <w:pPr>
        <w:jc w:val="both"/>
        <w:rPr>
          <w:sz w:val="24"/>
          <w:szCs w:val="24"/>
        </w:rPr>
      </w:pPr>
      <w:r w:rsidRPr="00D8334A">
        <w:rPr>
          <w:sz w:val="24"/>
          <w:szCs w:val="24"/>
        </w:rPr>
        <w:t xml:space="preserve">Динамика объемов приватизации </w:t>
      </w:r>
      <w:r>
        <w:rPr>
          <w:sz w:val="24"/>
          <w:szCs w:val="24"/>
        </w:rPr>
        <w:t xml:space="preserve">за период с 2012 по 2017 годы </w:t>
      </w:r>
      <w:r w:rsidRPr="00D8334A">
        <w:rPr>
          <w:sz w:val="24"/>
          <w:szCs w:val="24"/>
        </w:rPr>
        <w:t>приведена в таблице</w:t>
      </w:r>
      <w:r>
        <w:rPr>
          <w:sz w:val="24"/>
          <w:szCs w:val="24"/>
        </w:rPr>
        <w:t>:</w:t>
      </w:r>
    </w:p>
    <w:p w:rsidR="00481DC2" w:rsidRDefault="00481DC2" w:rsidP="00481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2"/>
        <w:gridCol w:w="955"/>
        <w:gridCol w:w="1002"/>
        <w:gridCol w:w="1002"/>
        <w:gridCol w:w="980"/>
        <w:gridCol w:w="980"/>
        <w:gridCol w:w="970"/>
      </w:tblGrid>
      <w:tr w:rsidR="00481DC2" w:rsidTr="003A7F3C">
        <w:trPr>
          <w:trHeight w:val="351"/>
        </w:trPr>
        <w:tc>
          <w:tcPr>
            <w:tcW w:w="3682" w:type="dxa"/>
          </w:tcPr>
          <w:p w:rsidR="00481DC2" w:rsidRPr="00D8334A" w:rsidRDefault="00481DC2" w:rsidP="003A7F3C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мероприятие</w:t>
            </w:r>
          </w:p>
        </w:tc>
        <w:tc>
          <w:tcPr>
            <w:tcW w:w="955" w:type="dxa"/>
          </w:tcPr>
          <w:p w:rsidR="00481DC2" w:rsidRPr="00D8334A" w:rsidRDefault="00481DC2" w:rsidP="003A7F3C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2012</w:t>
            </w:r>
          </w:p>
        </w:tc>
        <w:tc>
          <w:tcPr>
            <w:tcW w:w="1002" w:type="dxa"/>
          </w:tcPr>
          <w:p w:rsidR="00481DC2" w:rsidRPr="00D8334A" w:rsidRDefault="00481DC2" w:rsidP="003A7F3C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2013</w:t>
            </w:r>
          </w:p>
        </w:tc>
        <w:tc>
          <w:tcPr>
            <w:tcW w:w="1002" w:type="dxa"/>
          </w:tcPr>
          <w:p w:rsidR="00481DC2" w:rsidRPr="00D8334A" w:rsidRDefault="00481DC2" w:rsidP="003A7F3C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2014</w:t>
            </w:r>
          </w:p>
        </w:tc>
        <w:tc>
          <w:tcPr>
            <w:tcW w:w="980" w:type="dxa"/>
          </w:tcPr>
          <w:p w:rsidR="00481DC2" w:rsidRPr="00D8334A" w:rsidRDefault="00481DC2" w:rsidP="003A7F3C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2015</w:t>
            </w:r>
          </w:p>
        </w:tc>
        <w:tc>
          <w:tcPr>
            <w:tcW w:w="980" w:type="dxa"/>
          </w:tcPr>
          <w:p w:rsidR="00481DC2" w:rsidRPr="00D8334A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>Проведено аукционов, шт.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12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16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14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20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10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 xml:space="preserve">Продано земельных участков (в </w:t>
            </w:r>
            <w:proofErr w:type="spellStart"/>
            <w:r>
              <w:t>т.ч</w:t>
            </w:r>
            <w:proofErr w:type="spellEnd"/>
            <w:r>
              <w:t>. предоставлено в аренду), шт.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7(1)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21(7)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10 (3)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13(3)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6(2)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5(3)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 xml:space="preserve">Начальная цена выставленных на торги участков (реализованных),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321,75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1207,87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1567,4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2030,9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143,67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241,4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 xml:space="preserve">Цена по итогам торгов,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480,39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1941,46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1879,51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2031,5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143,70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531,7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>Продано объектов в ходе реализации Прогнозного плана (программы) приватизации муниципального имущества, шт.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5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8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3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 xml:space="preserve">Начальная цена выставленных на торги объектов недвижимости (реализованных),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1176,00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1537,00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1405,00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14344,7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2780,00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1106,00</w:t>
            </w:r>
          </w:p>
        </w:tc>
      </w:tr>
      <w:tr w:rsidR="00481DC2" w:rsidTr="003A7F3C">
        <w:tc>
          <w:tcPr>
            <w:tcW w:w="3682" w:type="dxa"/>
          </w:tcPr>
          <w:p w:rsidR="00481DC2" w:rsidRDefault="00481DC2" w:rsidP="003A7F3C">
            <w:r>
              <w:t xml:space="preserve">Общая сумма по договорам купли-продажи, заключенным в рамках приватизации объектов недвижимого имущества,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1034,11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806,3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1664,75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7580,22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3103,2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1143,75</w:t>
            </w:r>
          </w:p>
        </w:tc>
      </w:tr>
      <w:tr w:rsidR="00481DC2" w:rsidTr="003A7F3C">
        <w:tc>
          <w:tcPr>
            <w:tcW w:w="3682" w:type="dxa"/>
          </w:tcPr>
          <w:p w:rsidR="00481DC2" w:rsidRPr="009E11F6" w:rsidRDefault="00481DC2" w:rsidP="003A7F3C">
            <w:r w:rsidRPr="009E11F6">
              <w:t>Приватизировано земельных участков под зданиями, сооружениями</w:t>
            </w:r>
          </w:p>
        </w:tc>
        <w:tc>
          <w:tcPr>
            <w:tcW w:w="955" w:type="dxa"/>
          </w:tcPr>
          <w:p w:rsidR="00481DC2" w:rsidRPr="00952B8E" w:rsidRDefault="00481DC2" w:rsidP="003A7F3C">
            <w:pPr>
              <w:jc w:val="center"/>
            </w:pPr>
            <w:r>
              <w:t>4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:rsidR="00481DC2" w:rsidRPr="00952B8E" w:rsidRDefault="00481DC2" w:rsidP="003A7F3C">
            <w:pPr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481DC2" w:rsidRPr="00952B8E" w:rsidRDefault="00481DC2" w:rsidP="003A7F3C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481DC2" w:rsidRDefault="00481DC2" w:rsidP="003A7F3C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481DC2" w:rsidRDefault="00481DC2" w:rsidP="003A7F3C">
            <w:pPr>
              <w:jc w:val="center"/>
            </w:pPr>
            <w:r>
              <w:t>1</w:t>
            </w:r>
          </w:p>
        </w:tc>
      </w:tr>
    </w:tbl>
    <w:p w:rsidR="00481DC2" w:rsidRDefault="00481DC2" w:rsidP="00481DC2"/>
    <w:p w:rsidR="00481DC2" w:rsidRDefault="00481DC2" w:rsidP="00481DC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Прогнозный план (программа) приватизации имущества Белозерского  муниципального района, утвержденный на 2017 год позволил осуществить планирование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доходов районного бюджета в части неналоговых поступлений от продажи имущества района. </w:t>
      </w:r>
    </w:p>
    <w:p w:rsidR="00481DC2" w:rsidRDefault="00481DC2" w:rsidP="00481DC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2017 году, согласно Плану приватизации, планировалось продать 12 объектов движимого и недвижимого имущества, продано только 3, </w:t>
      </w:r>
      <w:r w:rsidRPr="001C1088">
        <w:rPr>
          <w:rFonts w:eastAsiaTheme="minorHAnsi"/>
          <w:sz w:val="24"/>
          <w:szCs w:val="24"/>
          <w:lang w:eastAsia="en-US"/>
        </w:rPr>
        <w:t xml:space="preserve">что составляет </w:t>
      </w:r>
      <w:r>
        <w:rPr>
          <w:rFonts w:eastAsiaTheme="minorHAnsi"/>
          <w:sz w:val="24"/>
          <w:szCs w:val="24"/>
          <w:lang w:eastAsia="en-US"/>
        </w:rPr>
        <w:t>25</w:t>
      </w:r>
      <w:r w:rsidRPr="001C1088">
        <w:rPr>
          <w:rFonts w:eastAsiaTheme="minorHAnsi"/>
          <w:sz w:val="24"/>
          <w:szCs w:val="24"/>
          <w:lang w:eastAsia="en-US"/>
        </w:rPr>
        <w:t xml:space="preserve"> % к скорректированному плану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481DC2" w:rsidRDefault="00481DC2" w:rsidP="00481DC2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907397">
        <w:rPr>
          <w:color w:val="333333"/>
        </w:rPr>
        <w:t xml:space="preserve">Нежилое здание, назначение: нежилое, общей площадью 379,9 </w:t>
      </w:r>
      <w:proofErr w:type="spellStart"/>
      <w:r w:rsidRPr="00907397">
        <w:rPr>
          <w:color w:val="333333"/>
        </w:rPr>
        <w:t>кв.м</w:t>
      </w:r>
      <w:proofErr w:type="spellEnd"/>
      <w:r w:rsidRPr="00907397">
        <w:rPr>
          <w:color w:val="333333"/>
        </w:rPr>
        <w:t xml:space="preserve">. количество этажей: 2, и земельный участок с кадастровым №: 35:03:0101037:2, общей площадью 1168 </w:t>
      </w:r>
      <w:proofErr w:type="spellStart"/>
      <w:r w:rsidRPr="00907397">
        <w:rPr>
          <w:color w:val="333333"/>
        </w:rPr>
        <w:t>кв.м</w:t>
      </w:r>
      <w:proofErr w:type="spellEnd"/>
      <w:r w:rsidRPr="00907397">
        <w:rPr>
          <w:color w:val="333333"/>
        </w:rPr>
        <w:t>., категория земель: земли населенных пунктов, разрешенное использование: для обслуживания и эксплуатации зданий, адрес (местонахождение):</w:t>
      </w:r>
      <w:proofErr w:type="spellStart"/>
      <w:r w:rsidRPr="00907397">
        <w:rPr>
          <w:color w:val="333333"/>
        </w:rPr>
        <w:t>г</w:t>
      </w:r>
      <w:proofErr w:type="gramStart"/>
      <w:r w:rsidRPr="00907397">
        <w:rPr>
          <w:color w:val="333333"/>
        </w:rPr>
        <w:t>.Б</w:t>
      </w:r>
      <w:proofErr w:type="gramEnd"/>
      <w:r w:rsidRPr="00907397">
        <w:rPr>
          <w:color w:val="333333"/>
        </w:rPr>
        <w:t>елозерск</w:t>
      </w:r>
      <w:proofErr w:type="spellEnd"/>
      <w:r w:rsidRPr="00907397">
        <w:rPr>
          <w:color w:val="333333"/>
        </w:rPr>
        <w:t xml:space="preserve">, Советский </w:t>
      </w:r>
      <w:proofErr w:type="spellStart"/>
      <w:r w:rsidRPr="00907397">
        <w:rPr>
          <w:color w:val="333333"/>
        </w:rPr>
        <w:t>пр-кт</w:t>
      </w:r>
      <w:proofErr w:type="spellEnd"/>
      <w:r w:rsidRPr="00907397">
        <w:rPr>
          <w:color w:val="333333"/>
        </w:rPr>
        <w:t>, д.47, за 529,2 т</w:t>
      </w:r>
      <w:r>
        <w:rPr>
          <w:color w:val="333333"/>
        </w:rPr>
        <w:t>ыс</w:t>
      </w:r>
      <w:r w:rsidRPr="00907397">
        <w:rPr>
          <w:color w:val="333333"/>
        </w:rPr>
        <w:t>.</w:t>
      </w:r>
      <w:r>
        <w:rPr>
          <w:color w:val="333333"/>
        </w:rPr>
        <w:t xml:space="preserve"> </w:t>
      </w:r>
      <w:r w:rsidRPr="00907397">
        <w:rPr>
          <w:color w:val="333333"/>
        </w:rPr>
        <w:t>р</w:t>
      </w:r>
      <w:r>
        <w:rPr>
          <w:color w:val="333333"/>
        </w:rPr>
        <w:t>ублей</w:t>
      </w:r>
      <w:r w:rsidRPr="00907397">
        <w:rPr>
          <w:color w:val="333333"/>
        </w:rPr>
        <w:t>.;</w:t>
      </w:r>
    </w:p>
    <w:p w:rsidR="00481DC2" w:rsidRDefault="00481DC2" w:rsidP="00481DC2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Автомобиль легковой, </w:t>
      </w:r>
      <w:r>
        <w:rPr>
          <w:color w:val="333333"/>
          <w:lang w:val="en-US"/>
        </w:rPr>
        <w:t>CHEVROLET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KLAN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VIN</w:t>
      </w:r>
      <w:r w:rsidRPr="00907397">
        <w:rPr>
          <w:color w:val="333333"/>
        </w:rPr>
        <w:t xml:space="preserve"> </w:t>
      </w:r>
      <w:r>
        <w:rPr>
          <w:color w:val="333333"/>
          <w:lang w:val="en-US"/>
        </w:rPr>
        <w:t>XUUNF</w:t>
      </w:r>
      <w:r w:rsidRPr="00907397">
        <w:rPr>
          <w:color w:val="333333"/>
        </w:rPr>
        <w:t>197</w:t>
      </w:r>
      <w:r>
        <w:rPr>
          <w:color w:val="333333"/>
          <w:lang w:val="en-US"/>
        </w:rPr>
        <w:t>JAC</w:t>
      </w:r>
      <w:r w:rsidRPr="00907397">
        <w:rPr>
          <w:color w:val="333333"/>
        </w:rPr>
        <w:t>007698</w:t>
      </w:r>
      <w:r>
        <w:rPr>
          <w:color w:val="333333"/>
        </w:rPr>
        <w:t>, год изготовления ТС 2010, за 263,55 тыс. рублей,</w:t>
      </w:r>
    </w:p>
    <w:p w:rsidR="00481DC2" w:rsidRPr="00907397" w:rsidRDefault="00481DC2" w:rsidP="00481DC2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Автомобиль легковой, </w:t>
      </w:r>
      <w:r>
        <w:rPr>
          <w:color w:val="333333"/>
          <w:lang w:val="en-US"/>
        </w:rPr>
        <w:t>FORD</w:t>
      </w:r>
      <w:r w:rsidRPr="00907397">
        <w:rPr>
          <w:color w:val="333333"/>
        </w:rPr>
        <w:t xml:space="preserve"> </w:t>
      </w:r>
      <w:r>
        <w:rPr>
          <w:color w:val="333333"/>
        </w:rPr>
        <w:t xml:space="preserve">ФОРД «ФОКУС» </w:t>
      </w:r>
      <w:r>
        <w:rPr>
          <w:color w:val="333333"/>
          <w:lang w:val="en-US"/>
        </w:rPr>
        <w:t>VIN</w:t>
      </w:r>
      <w:r w:rsidRPr="00907397">
        <w:rPr>
          <w:color w:val="333333"/>
        </w:rPr>
        <w:t xml:space="preserve"> </w:t>
      </w:r>
      <w:r>
        <w:rPr>
          <w:color w:val="333333"/>
          <w:lang w:val="en-US"/>
        </w:rPr>
        <w:t>X</w:t>
      </w:r>
      <w:r w:rsidRPr="00907397">
        <w:rPr>
          <w:color w:val="333333"/>
        </w:rPr>
        <w:t>9</w:t>
      </w:r>
      <w:r>
        <w:rPr>
          <w:color w:val="333333"/>
          <w:lang w:val="en-US"/>
        </w:rPr>
        <w:t>FMXXEEBMBU</w:t>
      </w:r>
      <w:r w:rsidRPr="00907397">
        <w:rPr>
          <w:color w:val="333333"/>
        </w:rPr>
        <w:t>31938</w:t>
      </w:r>
      <w:r>
        <w:rPr>
          <w:color w:val="333333"/>
        </w:rPr>
        <w:t xml:space="preserve">, год изготовления ТС 2011, за 351 тыс. рублей. </w:t>
      </w:r>
    </w:p>
    <w:p w:rsidR="00481DC2" w:rsidRDefault="00481DC2" w:rsidP="00481DC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81DC2" w:rsidRPr="007B7C5D" w:rsidRDefault="00481DC2" w:rsidP="00481DC2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proofErr w:type="gramStart"/>
      <w:r w:rsidRPr="00F2369E">
        <w:rPr>
          <w:sz w:val="24"/>
          <w:szCs w:val="24"/>
        </w:rPr>
        <w:t xml:space="preserve">От приватизации объектов муниципального имущества, включенных в План приватизации, в бюджет  района поступило </w:t>
      </w:r>
      <w:r>
        <w:rPr>
          <w:sz w:val="24"/>
          <w:szCs w:val="24"/>
        </w:rPr>
        <w:t>1143,75</w:t>
      </w:r>
      <w:r w:rsidRPr="00F23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F2369E">
        <w:rPr>
          <w:sz w:val="24"/>
          <w:szCs w:val="24"/>
        </w:rPr>
        <w:t xml:space="preserve">рублей,  к  плану </w:t>
      </w:r>
      <w:r>
        <w:rPr>
          <w:sz w:val="24"/>
          <w:szCs w:val="24"/>
        </w:rPr>
        <w:t>1143,8 тыс.</w:t>
      </w:r>
      <w:r w:rsidRPr="00F2369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что составляет 99,9 %. Продажа выставленных объектов не в полном объеме от запланированного </w:t>
      </w:r>
      <w:r w:rsidRPr="00F2369E">
        <w:rPr>
          <w:rFonts w:eastAsiaTheme="minorHAnsi"/>
          <w:sz w:val="24"/>
          <w:szCs w:val="24"/>
          <w:lang w:eastAsia="en-US"/>
        </w:rPr>
        <w:t>объясняется низкой ликвидностью</w:t>
      </w:r>
      <w:r w:rsidRPr="00F2369E">
        <w:rPr>
          <w:rFonts w:eastAsiaTheme="minorHAnsi"/>
          <w:sz w:val="28"/>
          <w:szCs w:val="28"/>
          <w:lang w:eastAsia="en-US"/>
        </w:rPr>
        <w:t xml:space="preserve"> </w:t>
      </w:r>
      <w:r w:rsidRPr="00F2369E">
        <w:rPr>
          <w:rFonts w:eastAsiaTheme="minorHAnsi"/>
          <w:sz w:val="24"/>
          <w:szCs w:val="24"/>
          <w:lang w:eastAsia="en-US"/>
        </w:rPr>
        <w:t>объектов</w:t>
      </w:r>
      <w:r>
        <w:rPr>
          <w:rFonts w:eastAsiaTheme="minorHAnsi"/>
          <w:sz w:val="24"/>
          <w:szCs w:val="24"/>
          <w:lang w:eastAsia="en-US"/>
        </w:rPr>
        <w:t xml:space="preserve"> (8 объектов, которые были включены в план приватизации не реализованы уже несколько лет)</w:t>
      </w:r>
      <w:r w:rsidRPr="00F2369E">
        <w:rPr>
          <w:rFonts w:eastAsiaTheme="minorHAnsi"/>
          <w:sz w:val="24"/>
          <w:szCs w:val="24"/>
          <w:lang w:eastAsia="en-US"/>
        </w:rPr>
        <w:t>,</w:t>
      </w:r>
      <w:r w:rsidRPr="00F2369E">
        <w:rPr>
          <w:rFonts w:eastAsiaTheme="minorHAnsi"/>
          <w:sz w:val="28"/>
          <w:szCs w:val="28"/>
          <w:lang w:eastAsia="en-US"/>
        </w:rPr>
        <w:t xml:space="preserve"> </w:t>
      </w:r>
      <w:r w:rsidRPr="00B7326C">
        <w:rPr>
          <w:rFonts w:eastAsiaTheme="minorHAnsi"/>
          <w:sz w:val="24"/>
          <w:szCs w:val="24"/>
          <w:lang w:eastAsia="en-US"/>
        </w:rPr>
        <w:t>а также продолжающимся кризисом.</w:t>
      </w:r>
      <w:proofErr w:type="gramEnd"/>
      <w:r w:rsidRPr="00B7326C">
        <w:rPr>
          <w:sz w:val="24"/>
          <w:szCs w:val="24"/>
        </w:rPr>
        <w:t xml:space="preserve"> </w:t>
      </w:r>
      <w:r w:rsidRPr="007B7C5D">
        <w:rPr>
          <w:rFonts w:eastAsiaTheme="minorHAnsi"/>
          <w:sz w:val="24"/>
          <w:szCs w:val="24"/>
          <w:lang w:eastAsia="en-US"/>
        </w:rPr>
        <w:t>Недостаток денежных средств на проведение капитальных и текущих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7C5D">
        <w:rPr>
          <w:rFonts w:eastAsiaTheme="minorHAnsi"/>
          <w:sz w:val="24"/>
          <w:szCs w:val="24"/>
          <w:lang w:eastAsia="en-US"/>
        </w:rPr>
        <w:t xml:space="preserve">ремонтов объектов, находящихся в собственности </w:t>
      </w:r>
      <w:r>
        <w:rPr>
          <w:rFonts w:eastAsiaTheme="minorHAnsi"/>
          <w:sz w:val="24"/>
          <w:szCs w:val="24"/>
          <w:lang w:eastAsia="en-US"/>
        </w:rPr>
        <w:t>района</w:t>
      </w:r>
      <w:r w:rsidRPr="007B7C5D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а также удаленность от районного центра,</w:t>
      </w:r>
      <w:r w:rsidRPr="007B7C5D">
        <w:rPr>
          <w:rFonts w:eastAsiaTheme="minorHAnsi"/>
          <w:sz w:val="24"/>
          <w:szCs w:val="24"/>
          <w:lang w:eastAsia="en-US"/>
        </w:rPr>
        <w:t xml:space="preserve"> приводит к тому,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7C5D">
        <w:rPr>
          <w:rFonts w:eastAsiaTheme="minorHAnsi"/>
          <w:sz w:val="24"/>
          <w:szCs w:val="24"/>
          <w:lang w:eastAsia="en-US"/>
        </w:rPr>
        <w:t>что теряется их привлекательность для потенциальных арендаторов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7C5D">
        <w:rPr>
          <w:rFonts w:eastAsiaTheme="minorHAnsi"/>
          <w:sz w:val="24"/>
          <w:szCs w:val="24"/>
          <w:lang w:eastAsia="en-US"/>
        </w:rPr>
        <w:t>покупателей.</w:t>
      </w:r>
    </w:p>
    <w:p w:rsidR="00481DC2" w:rsidRPr="00F04516" w:rsidRDefault="00481DC2" w:rsidP="00481DC2">
      <w:pPr>
        <w:ind w:firstLine="567"/>
        <w:jc w:val="both"/>
        <w:rPr>
          <w:b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4394"/>
      </w:tblGrid>
      <w:tr w:rsidR="00481DC2" w:rsidRPr="00567875" w:rsidTr="003A7F3C">
        <w:tc>
          <w:tcPr>
            <w:tcW w:w="2268" w:type="dxa"/>
          </w:tcPr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567875">
              <w:rPr>
                <w:sz w:val="24"/>
                <w:szCs w:val="24"/>
              </w:rPr>
              <w:t xml:space="preserve">№ </w:t>
            </w:r>
            <w:proofErr w:type="gramStart"/>
            <w:r w:rsidRPr="00567875">
              <w:rPr>
                <w:sz w:val="24"/>
                <w:szCs w:val="24"/>
              </w:rPr>
              <w:t>п</w:t>
            </w:r>
            <w:proofErr w:type="gramEnd"/>
            <w:r w:rsidRPr="00567875">
              <w:rPr>
                <w:sz w:val="24"/>
                <w:szCs w:val="24"/>
              </w:rPr>
              <w:t>/п</w:t>
            </w:r>
          </w:p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394" w:type="dxa"/>
          </w:tcPr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 доходов  от   приватизации   имущества (в тыс. рублей)</w:t>
            </w:r>
          </w:p>
        </w:tc>
      </w:tr>
      <w:tr w:rsidR="00481DC2" w:rsidRPr="00567875" w:rsidTr="003A7F3C">
        <w:tc>
          <w:tcPr>
            <w:tcW w:w="2268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394" w:type="dxa"/>
          </w:tcPr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819, 26</w:t>
            </w:r>
          </w:p>
        </w:tc>
      </w:tr>
      <w:tr w:rsidR="00481DC2" w:rsidRPr="00567875" w:rsidTr="003A7F3C">
        <w:tc>
          <w:tcPr>
            <w:tcW w:w="2268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394" w:type="dxa"/>
          </w:tcPr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951, 85</w:t>
            </w:r>
          </w:p>
        </w:tc>
      </w:tr>
      <w:tr w:rsidR="00481DC2" w:rsidRPr="00567875" w:rsidTr="003A7F3C">
        <w:tc>
          <w:tcPr>
            <w:tcW w:w="2268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3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1 664, 75</w:t>
            </w:r>
          </w:p>
        </w:tc>
      </w:tr>
      <w:tr w:rsidR="00481DC2" w:rsidRPr="00567875" w:rsidTr="003A7F3C">
        <w:tc>
          <w:tcPr>
            <w:tcW w:w="2268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394" w:type="dxa"/>
          </w:tcPr>
          <w:p w:rsidR="00481DC2" w:rsidRPr="00567875" w:rsidRDefault="00481DC2" w:rsidP="003A7F3C">
            <w:pPr>
              <w:tabs>
                <w:tab w:val="left" w:pos="540"/>
                <w:tab w:val="left" w:pos="5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7 580, 225</w:t>
            </w:r>
          </w:p>
        </w:tc>
      </w:tr>
      <w:tr w:rsidR="00481DC2" w:rsidRPr="00567875" w:rsidTr="003A7F3C">
        <w:tc>
          <w:tcPr>
            <w:tcW w:w="2268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3 103,2</w:t>
            </w:r>
          </w:p>
        </w:tc>
      </w:tr>
      <w:tr w:rsidR="00481DC2" w:rsidRPr="00567875" w:rsidTr="003A7F3C">
        <w:tc>
          <w:tcPr>
            <w:tcW w:w="2268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394" w:type="dxa"/>
          </w:tcPr>
          <w:p w:rsidR="00481DC2" w:rsidRDefault="00481DC2" w:rsidP="003A7F3C">
            <w:pPr>
              <w:tabs>
                <w:tab w:val="left" w:pos="540"/>
                <w:tab w:val="left" w:pos="5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1143,75</w:t>
            </w:r>
          </w:p>
        </w:tc>
      </w:tr>
    </w:tbl>
    <w:p w:rsidR="00481DC2" w:rsidRDefault="00481DC2" w:rsidP="00481DC2">
      <w:pPr>
        <w:jc w:val="both"/>
        <w:rPr>
          <w:sz w:val="28"/>
          <w:szCs w:val="28"/>
        </w:rPr>
      </w:pPr>
    </w:p>
    <w:p w:rsidR="00481DC2" w:rsidRDefault="00481DC2" w:rsidP="00481DC2">
      <w:pPr>
        <w:ind w:firstLine="567"/>
        <w:jc w:val="both"/>
        <w:rPr>
          <w:sz w:val="24"/>
          <w:szCs w:val="24"/>
        </w:rPr>
      </w:pPr>
      <w:r w:rsidRPr="00322CB0">
        <w:rPr>
          <w:sz w:val="24"/>
          <w:szCs w:val="24"/>
        </w:rPr>
        <w:t>В 201</w:t>
      </w:r>
      <w:r>
        <w:rPr>
          <w:sz w:val="24"/>
          <w:szCs w:val="24"/>
        </w:rPr>
        <w:t>8-2020</w:t>
      </w:r>
      <w:r w:rsidRPr="00322CB0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22CB0">
        <w:rPr>
          <w:sz w:val="24"/>
          <w:szCs w:val="24"/>
        </w:rPr>
        <w:t>, согласно утвержденно</w:t>
      </w:r>
      <w:r>
        <w:rPr>
          <w:sz w:val="24"/>
          <w:szCs w:val="24"/>
        </w:rPr>
        <w:t>му</w:t>
      </w:r>
      <w:r w:rsidRPr="00322CB0">
        <w:rPr>
          <w:sz w:val="24"/>
          <w:szCs w:val="24"/>
        </w:rPr>
        <w:t xml:space="preserve"> Прогнозно</w:t>
      </w:r>
      <w:r>
        <w:rPr>
          <w:sz w:val="24"/>
          <w:szCs w:val="24"/>
        </w:rPr>
        <w:t>му</w:t>
      </w:r>
      <w:r w:rsidRPr="00322CB0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322CB0">
        <w:rPr>
          <w:sz w:val="24"/>
          <w:szCs w:val="24"/>
        </w:rPr>
        <w:t xml:space="preserve"> (программ</w:t>
      </w:r>
      <w:r>
        <w:rPr>
          <w:sz w:val="24"/>
          <w:szCs w:val="24"/>
        </w:rPr>
        <w:t>е</w:t>
      </w:r>
      <w:r w:rsidRPr="00322CB0">
        <w:rPr>
          <w:sz w:val="24"/>
          <w:szCs w:val="24"/>
        </w:rPr>
        <w:t xml:space="preserve">) приватизации муниципального имущества Белозерского муниципального района, планируется приватизировать </w:t>
      </w:r>
      <w:r>
        <w:rPr>
          <w:sz w:val="24"/>
          <w:szCs w:val="24"/>
        </w:rPr>
        <w:t>16</w:t>
      </w:r>
      <w:r w:rsidRPr="00322CB0">
        <w:rPr>
          <w:sz w:val="24"/>
          <w:szCs w:val="24"/>
        </w:rPr>
        <w:t xml:space="preserve"> объектов недвижимости с земельными участками на сумму не менее </w:t>
      </w:r>
      <w:r w:rsidRPr="0084248C">
        <w:rPr>
          <w:sz w:val="24"/>
          <w:szCs w:val="24"/>
        </w:rPr>
        <w:t>2 091,00 руб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тыс. </w:t>
      </w:r>
      <w:r w:rsidRPr="00322CB0">
        <w:rPr>
          <w:sz w:val="24"/>
          <w:szCs w:val="24"/>
        </w:rPr>
        <w:t>руб</w:t>
      </w:r>
      <w:r>
        <w:rPr>
          <w:sz w:val="24"/>
          <w:szCs w:val="24"/>
        </w:rPr>
        <w:t>лей (в план включены и объекты, которые не были реализованы в предыдущие годы).</w:t>
      </w:r>
    </w:p>
    <w:p w:rsidR="00481DC2" w:rsidRDefault="00481DC2" w:rsidP="00481DC2">
      <w:pPr>
        <w:jc w:val="center"/>
        <w:rPr>
          <w:b/>
          <w:sz w:val="24"/>
          <w:szCs w:val="24"/>
        </w:rPr>
      </w:pPr>
    </w:p>
    <w:p w:rsidR="00481DC2" w:rsidRDefault="00481DC2" w:rsidP="00481DC2">
      <w:pPr>
        <w:jc w:val="center"/>
        <w:rPr>
          <w:b/>
          <w:sz w:val="24"/>
          <w:szCs w:val="24"/>
        </w:rPr>
      </w:pPr>
      <w:r w:rsidRPr="002D6D3C">
        <w:rPr>
          <w:b/>
          <w:sz w:val="24"/>
          <w:szCs w:val="24"/>
        </w:rPr>
        <w:t>Полномочия в сфере земельных отношений</w:t>
      </w:r>
    </w:p>
    <w:p w:rsidR="00481DC2" w:rsidRDefault="00481DC2" w:rsidP="00481DC2">
      <w:pPr>
        <w:ind w:firstLine="567"/>
        <w:jc w:val="both"/>
        <w:rPr>
          <w:sz w:val="24"/>
          <w:szCs w:val="24"/>
        </w:rPr>
      </w:pPr>
    </w:p>
    <w:p w:rsidR="00481DC2" w:rsidRPr="00F73723" w:rsidRDefault="00481DC2" w:rsidP="00481DC2">
      <w:pPr>
        <w:ind w:firstLine="567"/>
        <w:jc w:val="both"/>
        <w:rPr>
          <w:sz w:val="24"/>
          <w:szCs w:val="24"/>
        </w:rPr>
      </w:pPr>
      <w:proofErr w:type="gramStart"/>
      <w:r w:rsidRPr="00F73723">
        <w:rPr>
          <w:sz w:val="24"/>
          <w:szCs w:val="24"/>
        </w:rPr>
        <w:t>Основными направлениями работы в сфере земельных отношений в течение года являлись: заключение договоров аренды, безвозмездного пользования земельными участками, договоров купли-продажи, начисление и взимание арендной платы за землю, анализ задолженности по арендной плате за землю, формирование земельных участков с целью продажи через торги, предоставление путем приватизации в собственность земельных участков, бесплатно отдельным категориям граждан</w:t>
      </w:r>
      <w:r>
        <w:rPr>
          <w:sz w:val="24"/>
          <w:szCs w:val="24"/>
        </w:rPr>
        <w:t>, муниципальный земельный контроль</w:t>
      </w:r>
      <w:r w:rsidRPr="00F73723">
        <w:rPr>
          <w:sz w:val="24"/>
          <w:szCs w:val="24"/>
        </w:rPr>
        <w:t xml:space="preserve"> и т.д.  </w:t>
      </w:r>
      <w:proofErr w:type="gramEnd"/>
    </w:p>
    <w:p w:rsidR="00481DC2" w:rsidRPr="00F73723" w:rsidRDefault="00481DC2" w:rsidP="00481DC2">
      <w:pPr>
        <w:pStyle w:val="ConsPlusNormal"/>
        <w:widowControl/>
        <w:tabs>
          <w:tab w:val="left" w:pos="567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F73723">
        <w:rPr>
          <w:rFonts w:ascii="Times New Roman" w:hAnsi="Times New Roman" w:cs="Times New Roman"/>
          <w:sz w:val="24"/>
          <w:szCs w:val="24"/>
        </w:rPr>
        <w:t>В рамках выполнения законов Вологодской области:</w:t>
      </w:r>
    </w:p>
    <w:p w:rsidR="00481DC2" w:rsidRPr="00F73723" w:rsidRDefault="00481DC2" w:rsidP="00481DC2">
      <w:pPr>
        <w:overflowPunct/>
        <w:ind w:firstLine="567"/>
        <w:jc w:val="both"/>
        <w:textAlignment w:val="auto"/>
        <w:rPr>
          <w:sz w:val="24"/>
          <w:szCs w:val="24"/>
        </w:rPr>
      </w:pPr>
      <w:proofErr w:type="gramStart"/>
      <w:r w:rsidRPr="00F73723">
        <w:rPr>
          <w:sz w:val="24"/>
          <w:szCs w:val="24"/>
        </w:rPr>
        <w:lastRenderedPageBreak/>
        <w:t>от 08.04.2015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>
        <w:rPr>
          <w:sz w:val="24"/>
          <w:szCs w:val="24"/>
        </w:rPr>
        <w:t xml:space="preserve"> </w:t>
      </w:r>
      <w:r w:rsidRPr="00F73723">
        <w:rPr>
          <w:sz w:val="24"/>
          <w:szCs w:val="24"/>
        </w:rPr>
        <w:t>на 31.12.201</w:t>
      </w:r>
      <w:r>
        <w:rPr>
          <w:sz w:val="24"/>
          <w:szCs w:val="24"/>
        </w:rPr>
        <w:t xml:space="preserve">7 </w:t>
      </w:r>
      <w:r w:rsidRPr="00F73723">
        <w:rPr>
          <w:sz w:val="24"/>
          <w:szCs w:val="24"/>
        </w:rPr>
        <w:t>предоставлен</w:t>
      </w:r>
      <w:r>
        <w:rPr>
          <w:sz w:val="24"/>
          <w:szCs w:val="24"/>
        </w:rPr>
        <w:t>о</w:t>
      </w:r>
      <w:r w:rsidRPr="00F73723">
        <w:rPr>
          <w:sz w:val="24"/>
          <w:szCs w:val="24"/>
        </w:rPr>
        <w:t xml:space="preserve"> гражданам, имеющим трех и более детей </w:t>
      </w:r>
      <w:r>
        <w:rPr>
          <w:sz w:val="24"/>
          <w:szCs w:val="24"/>
        </w:rPr>
        <w:t>69</w:t>
      </w:r>
      <w:r w:rsidRPr="00F73723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х</w:t>
      </w:r>
      <w:r w:rsidRPr="00F7372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F73723">
        <w:rPr>
          <w:sz w:val="24"/>
          <w:szCs w:val="24"/>
        </w:rPr>
        <w:t>, в том числе в 201</w:t>
      </w:r>
      <w:r>
        <w:rPr>
          <w:sz w:val="24"/>
          <w:szCs w:val="24"/>
        </w:rPr>
        <w:t>7</w:t>
      </w:r>
      <w:r w:rsidRPr="00F73723">
        <w:rPr>
          <w:sz w:val="24"/>
          <w:szCs w:val="24"/>
        </w:rPr>
        <w:t xml:space="preserve"> году предоставлено </w:t>
      </w:r>
      <w:r>
        <w:rPr>
          <w:sz w:val="24"/>
          <w:szCs w:val="24"/>
        </w:rPr>
        <w:t>9</w:t>
      </w:r>
      <w:r w:rsidRPr="00F73723">
        <w:rPr>
          <w:sz w:val="24"/>
          <w:szCs w:val="24"/>
        </w:rPr>
        <w:t xml:space="preserve"> земельных участк</w:t>
      </w:r>
      <w:r>
        <w:rPr>
          <w:sz w:val="24"/>
          <w:szCs w:val="24"/>
        </w:rPr>
        <w:t>ов</w:t>
      </w:r>
      <w:r w:rsidRPr="00F73723">
        <w:rPr>
          <w:sz w:val="24"/>
          <w:szCs w:val="24"/>
        </w:rPr>
        <w:t xml:space="preserve"> (в 201</w:t>
      </w:r>
      <w:r>
        <w:rPr>
          <w:sz w:val="24"/>
          <w:szCs w:val="24"/>
        </w:rPr>
        <w:t>6</w:t>
      </w:r>
      <w:r w:rsidRPr="00F73723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F73723">
        <w:rPr>
          <w:sz w:val="24"/>
          <w:szCs w:val="24"/>
        </w:rPr>
        <w:t>), общее количество обратившихся 1</w:t>
      </w:r>
      <w:r>
        <w:rPr>
          <w:sz w:val="24"/>
          <w:szCs w:val="24"/>
        </w:rPr>
        <w:t>99</w:t>
      </w:r>
      <w:r w:rsidRPr="00F73723">
        <w:rPr>
          <w:sz w:val="24"/>
          <w:szCs w:val="24"/>
        </w:rPr>
        <w:t xml:space="preserve"> (обеспечено 3</w:t>
      </w:r>
      <w:r>
        <w:rPr>
          <w:sz w:val="24"/>
          <w:szCs w:val="24"/>
        </w:rPr>
        <w:t>5</w:t>
      </w:r>
      <w:r w:rsidRPr="00F73723">
        <w:rPr>
          <w:sz w:val="24"/>
          <w:szCs w:val="24"/>
        </w:rPr>
        <w:t xml:space="preserve"> % обратившихся), предоставлен </w:t>
      </w:r>
      <w:r>
        <w:rPr>
          <w:sz w:val="24"/>
          <w:szCs w:val="24"/>
        </w:rPr>
        <w:t>1</w:t>
      </w:r>
      <w:r w:rsidRPr="00F73723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F73723">
        <w:rPr>
          <w:sz w:val="24"/>
          <w:szCs w:val="24"/>
        </w:rPr>
        <w:t>к граждан</w:t>
      </w:r>
      <w:r>
        <w:rPr>
          <w:sz w:val="24"/>
          <w:szCs w:val="24"/>
        </w:rPr>
        <w:t>ину</w:t>
      </w:r>
      <w:r w:rsidRPr="00F73723">
        <w:rPr>
          <w:sz w:val="24"/>
          <w:szCs w:val="24"/>
        </w:rPr>
        <w:t>, являющ</w:t>
      </w:r>
      <w:r>
        <w:rPr>
          <w:sz w:val="24"/>
          <w:szCs w:val="24"/>
        </w:rPr>
        <w:t>емуся</w:t>
      </w:r>
      <w:proofErr w:type="gramEnd"/>
      <w:r w:rsidRPr="00F73723">
        <w:rPr>
          <w:sz w:val="24"/>
          <w:szCs w:val="24"/>
        </w:rPr>
        <w:t xml:space="preserve"> медицинским работник</w:t>
      </w:r>
      <w:r>
        <w:rPr>
          <w:sz w:val="24"/>
          <w:szCs w:val="24"/>
        </w:rPr>
        <w:t>ом</w:t>
      </w:r>
      <w:r w:rsidRPr="00F73723">
        <w:rPr>
          <w:sz w:val="24"/>
          <w:szCs w:val="24"/>
        </w:rPr>
        <w:t xml:space="preserve"> (общее количество обратившихся-</w:t>
      </w:r>
      <w:r>
        <w:rPr>
          <w:sz w:val="24"/>
          <w:szCs w:val="24"/>
        </w:rPr>
        <w:t>8</w:t>
      </w:r>
      <w:r w:rsidRPr="00F73723">
        <w:rPr>
          <w:sz w:val="24"/>
          <w:szCs w:val="24"/>
        </w:rPr>
        <w:t>).</w:t>
      </w:r>
      <w:r>
        <w:rPr>
          <w:sz w:val="24"/>
          <w:szCs w:val="24"/>
        </w:rPr>
        <w:t xml:space="preserve">Всего предоставлено 3 участка. </w:t>
      </w:r>
    </w:p>
    <w:tbl>
      <w:tblPr>
        <w:tblStyle w:val="a8"/>
        <w:tblW w:w="9464" w:type="dxa"/>
        <w:tblLayout w:type="fixed"/>
        <w:tblLook w:val="0000" w:firstRow="0" w:lastRow="0" w:firstColumn="0" w:lastColumn="0" w:noHBand="0" w:noVBand="0"/>
      </w:tblPr>
      <w:tblGrid>
        <w:gridCol w:w="1711"/>
        <w:gridCol w:w="1091"/>
        <w:gridCol w:w="1134"/>
        <w:gridCol w:w="1134"/>
        <w:gridCol w:w="1134"/>
        <w:gridCol w:w="1701"/>
        <w:gridCol w:w="1559"/>
      </w:tblGrid>
      <w:tr w:rsidR="00481DC2" w:rsidRPr="00CC141F" w:rsidTr="003A7F3C">
        <w:trPr>
          <w:trHeight w:val="360"/>
        </w:trPr>
        <w:tc>
          <w:tcPr>
            <w:tcW w:w="9464" w:type="dxa"/>
            <w:gridSpan w:val="7"/>
          </w:tcPr>
          <w:p w:rsidR="00481DC2" w:rsidRPr="00F73723" w:rsidRDefault="00481DC2" w:rsidP="003A7F3C">
            <w:pPr>
              <w:ind w:left="108" w:firstLine="567"/>
              <w:jc w:val="both"/>
              <w:rPr>
                <w:sz w:val="24"/>
                <w:szCs w:val="24"/>
              </w:rPr>
            </w:pPr>
            <w:proofErr w:type="gramStart"/>
            <w:r w:rsidRPr="00F73723">
              <w:rPr>
                <w:sz w:val="24"/>
                <w:szCs w:val="24"/>
              </w:rPr>
              <w:t>п</w:t>
            </w:r>
            <w:proofErr w:type="gramEnd"/>
            <w:r w:rsidRPr="00F73723">
              <w:rPr>
                <w:sz w:val="24"/>
                <w:szCs w:val="24"/>
              </w:rPr>
              <w:t>редоставление земельных участков гражданам, имеющим трех и более детей</w:t>
            </w:r>
          </w:p>
        </w:tc>
      </w:tr>
      <w:tr w:rsidR="00481DC2" w:rsidRPr="00CC141F" w:rsidTr="003A7F3C">
        <w:tblPrEx>
          <w:tblLook w:val="04A0" w:firstRow="1" w:lastRow="0" w:firstColumn="1" w:lastColumn="0" w:noHBand="0" w:noVBand="1"/>
        </w:tblPrEx>
        <w:tc>
          <w:tcPr>
            <w:tcW w:w="1711" w:type="dxa"/>
          </w:tcPr>
          <w:p w:rsidR="00481DC2" w:rsidRPr="00AD610B" w:rsidRDefault="00481DC2" w:rsidP="003A7F3C">
            <w:pPr>
              <w:overflowPunct/>
              <w:jc w:val="center"/>
              <w:textAlignment w:val="auto"/>
            </w:pPr>
            <w:r w:rsidRPr="00AD610B">
              <w:t>Вид разрешенного использования</w:t>
            </w:r>
          </w:p>
        </w:tc>
        <w:tc>
          <w:tcPr>
            <w:tcW w:w="109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2012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2013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2014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2015</w:t>
            </w:r>
          </w:p>
        </w:tc>
        <w:tc>
          <w:tcPr>
            <w:tcW w:w="170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2016</w:t>
            </w:r>
          </w:p>
        </w:tc>
        <w:tc>
          <w:tcPr>
            <w:tcW w:w="1559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2017</w:t>
            </w:r>
          </w:p>
        </w:tc>
      </w:tr>
      <w:tr w:rsidR="00481DC2" w:rsidRPr="00CC141F" w:rsidTr="003A7F3C">
        <w:tblPrEx>
          <w:tblLook w:val="04A0" w:firstRow="1" w:lastRow="0" w:firstColumn="1" w:lastColumn="0" w:noHBand="0" w:noVBand="1"/>
        </w:tblPrEx>
        <w:tc>
          <w:tcPr>
            <w:tcW w:w="1711" w:type="dxa"/>
          </w:tcPr>
          <w:p w:rsidR="00481DC2" w:rsidRPr="00AD610B" w:rsidRDefault="00481DC2" w:rsidP="003A7F3C">
            <w:pPr>
              <w:overflowPunct/>
              <w:textAlignment w:val="auto"/>
            </w:pPr>
            <w:r w:rsidRPr="00AD610B">
              <w:t>Для индивидуального жилищного строительства</w:t>
            </w:r>
          </w:p>
        </w:tc>
        <w:tc>
          <w:tcPr>
            <w:tcW w:w="109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9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9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3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15</w:t>
            </w:r>
          </w:p>
        </w:tc>
        <w:tc>
          <w:tcPr>
            <w:tcW w:w="170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2</w:t>
            </w:r>
          </w:p>
        </w:tc>
        <w:tc>
          <w:tcPr>
            <w:tcW w:w="1559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3</w:t>
            </w:r>
          </w:p>
        </w:tc>
      </w:tr>
      <w:tr w:rsidR="00481DC2" w:rsidRPr="00CC141F" w:rsidTr="003A7F3C">
        <w:tblPrEx>
          <w:tblLook w:val="04A0" w:firstRow="1" w:lastRow="0" w:firstColumn="1" w:lastColumn="0" w:noHBand="0" w:noVBand="1"/>
        </w:tblPrEx>
        <w:tc>
          <w:tcPr>
            <w:tcW w:w="1711" w:type="dxa"/>
          </w:tcPr>
          <w:p w:rsidR="00481DC2" w:rsidRPr="00AD610B" w:rsidRDefault="00481DC2" w:rsidP="003A7F3C">
            <w:pPr>
              <w:overflowPunct/>
              <w:textAlignment w:val="auto"/>
            </w:pPr>
            <w:r w:rsidRPr="00AD610B">
              <w:t>Для ведения личного подсобного хозяйства</w:t>
            </w:r>
          </w:p>
        </w:tc>
        <w:tc>
          <w:tcPr>
            <w:tcW w:w="109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1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-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10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4</w:t>
            </w:r>
          </w:p>
        </w:tc>
        <w:tc>
          <w:tcPr>
            <w:tcW w:w="170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1</w:t>
            </w:r>
          </w:p>
        </w:tc>
        <w:tc>
          <w:tcPr>
            <w:tcW w:w="1559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6</w:t>
            </w:r>
          </w:p>
        </w:tc>
      </w:tr>
      <w:tr w:rsidR="00481DC2" w:rsidRPr="00CC141F" w:rsidTr="003A7F3C">
        <w:tblPrEx>
          <w:tblLook w:val="04A0" w:firstRow="1" w:lastRow="0" w:firstColumn="1" w:lastColumn="0" w:noHBand="0" w:noVBand="1"/>
        </w:tblPrEx>
        <w:tc>
          <w:tcPr>
            <w:tcW w:w="1711" w:type="dxa"/>
          </w:tcPr>
          <w:p w:rsidR="00481DC2" w:rsidRPr="00AD610B" w:rsidRDefault="00481DC2" w:rsidP="003A7F3C">
            <w:pPr>
              <w:overflowPunct/>
              <w:textAlignment w:val="auto"/>
            </w:pPr>
            <w:r w:rsidRPr="00AD610B">
              <w:t>Для дачного строительства</w:t>
            </w:r>
          </w:p>
        </w:tc>
        <w:tc>
          <w:tcPr>
            <w:tcW w:w="109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-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-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5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1</w:t>
            </w:r>
          </w:p>
        </w:tc>
        <w:tc>
          <w:tcPr>
            <w:tcW w:w="170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0</w:t>
            </w:r>
          </w:p>
        </w:tc>
        <w:tc>
          <w:tcPr>
            <w:tcW w:w="1559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-</w:t>
            </w:r>
          </w:p>
        </w:tc>
      </w:tr>
      <w:tr w:rsidR="00481DC2" w:rsidRPr="00CC141F" w:rsidTr="003A7F3C">
        <w:tblPrEx>
          <w:tblLook w:val="04A0" w:firstRow="1" w:lastRow="0" w:firstColumn="1" w:lastColumn="0" w:noHBand="0" w:noVBand="1"/>
        </w:tblPrEx>
        <w:tc>
          <w:tcPr>
            <w:tcW w:w="1711" w:type="dxa"/>
          </w:tcPr>
          <w:p w:rsidR="00481DC2" w:rsidRPr="00AD610B" w:rsidRDefault="00481DC2" w:rsidP="003A7F3C">
            <w:pPr>
              <w:overflowPunct/>
              <w:textAlignment w:val="auto"/>
            </w:pPr>
            <w:r w:rsidRPr="00AD610B">
              <w:t>Итого:</w:t>
            </w:r>
          </w:p>
        </w:tc>
        <w:tc>
          <w:tcPr>
            <w:tcW w:w="109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10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9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18</w:t>
            </w:r>
          </w:p>
        </w:tc>
        <w:tc>
          <w:tcPr>
            <w:tcW w:w="1134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 w:rsidRPr="00F73723">
              <w:t>20</w:t>
            </w:r>
          </w:p>
        </w:tc>
        <w:tc>
          <w:tcPr>
            <w:tcW w:w="1701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3</w:t>
            </w:r>
          </w:p>
        </w:tc>
        <w:tc>
          <w:tcPr>
            <w:tcW w:w="1559" w:type="dxa"/>
          </w:tcPr>
          <w:p w:rsidR="00481DC2" w:rsidRPr="00F73723" w:rsidRDefault="00481DC2" w:rsidP="003A7F3C">
            <w:pPr>
              <w:overflowPunct/>
              <w:jc w:val="center"/>
              <w:textAlignment w:val="auto"/>
            </w:pPr>
            <w:r>
              <w:t>9</w:t>
            </w:r>
          </w:p>
        </w:tc>
      </w:tr>
    </w:tbl>
    <w:p w:rsidR="00481DC2" w:rsidRPr="00CC141F" w:rsidRDefault="00481DC2" w:rsidP="00481DC2">
      <w:pPr>
        <w:overflowPunct/>
        <w:ind w:firstLine="567"/>
        <w:jc w:val="both"/>
        <w:textAlignment w:val="auto"/>
        <w:rPr>
          <w:i/>
          <w:color w:val="FF0000"/>
          <w:sz w:val="24"/>
          <w:szCs w:val="24"/>
        </w:rPr>
      </w:pPr>
    </w:p>
    <w:p w:rsidR="00481DC2" w:rsidRPr="00AD610B" w:rsidRDefault="00481DC2" w:rsidP="00481DC2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D610B">
        <w:rPr>
          <w:rFonts w:eastAsiaTheme="minorHAnsi"/>
          <w:sz w:val="24"/>
          <w:szCs w:val="24"/>
          <w:lang w:eastAsia="en-US"/>
        </w:rPr>
        <w:t xml:space="preserve">Удовлетворению потребности граждан в бесплатных земельных участках препятствует отсутствие свободных от прав третьих лиц и обеспеченных хотя бы частично инженерной и коммунальной инфраструктурой земельных участков. </w:t>
      </w:r>
    </w:p>
    <w:p w:rsidR="00481DC2" w:rsidRPr="00AD610B" w:rsidRDefault="00481DC2" w:rsidP="00481DC2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D610B">
        <w:rPr>
          <w:rFonts w:eastAsiaTheme="minorHAnsi"/>
          <w:sz w:val="24"/>
          <w:szCs w:val="24"/>
          <w:lang w:eastAsia="en-US"/>
        </w:rPr>
        <w:t>В 201</w:t>
      </w:r>
      <w:r>
        <w:rPr>
          <w:rFonts w:eastAsiaTheme="minorHAnsi"/>
          <w:sz w:val="24"/>
          <w:szCs w:val="24"/>
          <w:lang w:eastAsia="en-US"/>
        </w:rPr>
        <w:t>8</w:t>
      </w:r>
      <w:r w:rsidRPr="00AD610B">
        <w:rPr>
          <w:rFonts w:eastAsiaTheme="minorHAnsi"/>
          <w:sz w:val="24"/>
          <w:szCs w:val="24"/>
          <w:lang w:eastAsia="en-US"/>
        </w:rPr>
        <w:t xml:space="preserve"> году планируется продолжить выявление на территории района земельных участков, пригодных для строительства жилья, с целью увеличения объемов предоставления бесплатно земельных участков льготным категориям граждан.</w:t>
      </w:r>
    </w:p>
    <w:p w:rsidR="00481DC2" w:rsidRPr="00AD610B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10B">
        <w:rPr>
          <w:rFonts w:ascii="Times New Roman" w:hAnsi="Times New Roman" w:cs="Times New Roman"/>
          <w:sz w:val="24"/>
          <w:szCs w:val="24"/>
        </w:rPr>
        <w:t xml:space="preserve">Законом Вологодской области от 12.05.2015 №3661-ОЗ «Об установлении перечня муниципальных образований Вологодской области,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(фермерским) хозяйством его деятельности» предоставлено </w:t>
      </w:r>
      <w:r>
        <w:rPr>
          <w:rFonts w:ascii="Times New Roman" w:hAnsi="Times New Roman" w:cs="Times New Roman"/>
          <w:sz w:val="24"/>
          <w:szCs w:val="24"/>
        </w:rPr>
        <w:t>с момента действия закона 113 (3 предоставлено крестьянско-фермерским хозяйствам)</w:t>
      </w:r>
      <w:r w:rsidRPr="00AD610B">
        <w:rPr>
          <w:rFonts w:ascii="Times New Roman" w:hAnsi="Times New Roman" w:cs="Times New Roman"/>
          <w:sz w:val="24"/>
          <w:szCs w:val="24"/>
        </w:rPr>
        <w:t xml:space="preserve"> земельных участков (общее количество обратившихся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AD610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81DC2" w:rsidRPr="005341E8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sz w:val="24"/>
          <w:szCs w:val="24"/>
        </w:rPr>
        <w:t>В целом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1E8">
        <w:rPr>
          <w:rFonts w:ascii="Times New Roman" w:hAnsi="Times New Roman" w:cs="Times New Roman"/>
          <w:sz w:val="24"/>
          <w:szCs w:val="24"/>
        </w:rPr>
        <w:t xml:space="preserve"> году в аренду и в собственность (за исключением участков, предоставленных по законам Вологодской области) предоставлено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5341E8">
        <w:rPr>
          <w:rFonts w:ascii="Times New Roman" w:hAnsi="Times New Roman" w:cs="Times New Roman"/>
          <w:sz w:val="24"/>
          <w:szCs w:val="24"/>
        </w:rPr>
        <w:t xml:space="preserve"> земельных участков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41E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5341E8">
        <w:rPr>
          <w:rFonts w:ascii="Times New Roman" w:hAnsi="Times New Roman" w:cs="Times New Roman"/>
          <w:sz w:val="24"/>
          <w:szCs w:val="24"/>
        </w:rPr>
        <w:t xml:space="preserve">), общая площадь которых составляет </w:t>
      </w:r>
      <w:r>
        <w:rPr>
          <w:rFonts w:ascii="Times New Roman" w:hAnsi="Times New Roman" w:cs="Times New Roman"/>
          <w:sz w:val="24"/>
          <w:szCs w:val="24"/>
        </w:rPr>
        <w:t>38,7</w:t>
      </w:r>
      <w:r w:rsidRPr="005341E8">
        <w:rPr>
          <w:rFonts w:ascii="Times New Roman" w:hAnsi="Times New Roman" w:cs="Times New Roman"/>
          <w:sz w:val="24"/>
          <w:szCs w:val="24"/>
        </w:rPr>
        <w:t xml:space="preserve"> га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41E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341E8">
        <w:rPr>
          <w:rFonts w:ascii="Times New Roman" w:hAnsi="Times New Roman" w:cs="Times New Roman"/>
          <w:sz w:val="24"/>
          <w:szCs w:val="24"/>
        </w:rPr>
        <w:t xml:space="preserve"> га), в том числе:</w:t>
      </w:r>
    </w:p>
    <w:p w:rsidR="00481DC2" w:rsidRPr="005341E8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sz w:val="24"/>
          <w:szCs w:val="24"/>
        </w:rPr>
        <w:t xml:space="preserve">-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5341E8">
        <w:rPr>
          <w:rFonts w:ascii="Times New Roman" w:hAnsi="Times New Roman" w:cs="Times New Roman"/>
          <w:sz w:val="24"/>
          <w:szCs w:val="24"/>
        </w:rPr>
        <w:t>земельных участков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41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341E8">
        <w:rPr>
          <w:rFonts w:ascii="Times New Roman" w:hAnsi="Times New Roman" w:cs="Times New Roman"/>
          <w:sz w:val="24"/>
          <w:szCs w:val="24"/>
        </w:rPr>
        <w:t>);</w:t>
      </w:r>
    </w:p>
    <w:p w:rsidR="00481DC2" w:rsidRPr="00CC141F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41E8">
        <w:rPr>
          <w:rFonts w:ascii="Times New Roman" w:hAnsi="Times New Roman" w:cs="Times New Roman"/>
          <w:sz w:val="24"/>
          <w:szCs w:val="24"/>
        </w:rPr>
        <w:t xml:space="preserve">-в аренду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341E8">
        <w:rPr>
          <w:rFonts w:ascii="Times New Roman" w:hAnsi="Times New Roman" w:cs="Times New Roman"/>
          <w:sz w:val="24"/>
          <w:szCs w:val="24"/>
        </w:rPr>
        <w:t xml:space="preserve"> земельных участков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41E8">
        <w:rPr>
          <w:rFonts w:ascii="Times New Roman" w:hAnsi="Times New Roman" w:cs="Times New Roman"/>
          <w:sz w:val="24"/>
          <w:szCs w:val="24"/>
        </w:rPr>
        <w:t xml:space="preserve"> – 49) (</w:t>
      </w:r>
      <w:proofErr w:type="spellStart"/>
      <w:r w:rsidRPr="005341E8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5341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341E8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5341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341E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1E8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Pr="005341E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341E8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C14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81DC2" w:rsidRPr="00081570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70">
        <w:rPr>
          <w:rFonts w:ascii="Times New Roman" w:hAnsi="Times New Roman" w:cs="Times New Roman"/>
          <w:sz w:val="24"/>
          <w:szCs w:val="24"/>
        </w:rPr>
        <w:t xml:space="preserve">Поступления в бюджет района от использования земельных ресурсов составили </w:t>
      </w:r>
      <w:r>
        <w:rPr>
          <w:rFonts w:ascii="Times New Roman" w:hAnsi="Times New Roman" w:cs="Times New Roman"/>
          <w:sz w:val="24"/>
          <w:szCs w:val="24"/>
        </w:rPr>
        <w:t>4 015</w:t>
      </w:r>
      <w:r w:rsidRPr="00081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57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81DC2" w:rsidRPr="00995B75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75">
        <w:rPr>
          <w:rFonts w:ascii="Times New Roman" w:hAnsi="Times New Roman" w:cs="Times New Roman"/>
          <w:sz w:val="24"/>
          <w:szCs w:val="24"/>
        </w:rPr>
        <w:t xml:space="preserve">- от сдачи в аренду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2908,2 </w:t>
      </w:r>
      <w:r w:rsidRPr="00995B75">
        <w:rPr>
          <w:rFonts w:ascii="Times New Roman" w:hAnsi="Times New Roman" w:cs="Times New Roman"/>
          <w:sz w:val="24"/>
          <w:szCs w:val="24"/>
        </w:rPr>
        <w:t>тыс. руб. (</w:t>
      </w:r>
      <w:r>
        <w:rPr>
          <w:rFonts w:ascii="Times New Roman" w:hAnsi="Times New Roman" w:cs="Times New Roman"/>
          <w:sz w:val="24"/>
          <w:szCs w:val="24"/>
        </w:rPr>
        <w:t xml:space="preserve">к плану -2907,4 </w:t>
      </w:r>
      <w:r w:rsidRPr="00995B75">
        <w:rPr>
          <w:rFonts w:ascii="Times New Roman" w:hAnsi="Times New Roman" w:cs="Times New Roman"/>
          <w:sz w:val="24"/>
          <w:szCs w:val="24"/>
        </w:rPr>
        <w:t>тыс. рублей);</w:t>
      </w:r>
    </w:p>
    <w:p w:rsidR="00481DC2" w:rsidRPr="00081570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70">
        <w:rPr>
          <w:rFonts w:ascii="Times New Roman" w:hAnsi="Times New Roman" w:cs="Times New Roman"/>
          <w:sz w:val="24"/>
          <w:szCs w:val="24"/>
        </w:rPr>
        <w:t xml:space="preserve">- от продажи земельных участков  </w:t>
      </w:r>
      <w:r>
        <w:rPr>
          <w:rFonts w:ascii="Times New Roman" w:hAnsi="Times New Roman" w:cs="Times New Roman"/>
          <w:sz w:val="24"/>
          <w:szCs w:val="24"/>
        </w:rPr>
        <w:t>1107,16</w:t>
      </w:r>
      <w:r w:rsidRPr="0008157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к плану – 1108,00</w:t>
      </w:r>
      <w:r w:rsidRPr="00081570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481DC2" w:rsidRPr="00411235" w:rsidRDefault="00481DC2" w:rsidP="00481DC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235">
        <w:rPr>
          <w:rFonts w:ascii="Times New Roman" w:hAnsi="Times New Roman" w:cs="Times New Roman"/>
          <w:sz w:val="24"/>
          <w:szCs w:val="24"/>
        </w:rPr>
        <w:t>На 31.12.2017 года учтено и действует 1529 (2016- 1533) договоров аренды земли с гражданами (1469) и с юридическими лицами (60).</w:t>
      </w:r>
    </w:p>
    <w:p w:rsidR="00481DC2" w:rsidRPr="00AF01FB" w:rsidRDefault="00481DC2" w:rsidP="00481DC2">
      <w:pPr>
        <w:ind w:firstLine="567"/>
        <w:jc w:val="both"/>
        <w:rPr>
          <w:color w:val="000000" w:themeColor="text1"/>
          <w:sz w:val="24"/>
          <w:szCs w:val="24"/>
        </w:rPr>
      </w:pPr>
      <w:r w:rsidRPr="008D4ED5">
        <w:rPr>
          <w:sz w:val="24"/>
          <w:szCs w:val="24"/>
        </w:rPr>
        <w:t xml:space="preserve">Управлением подготовлено 740 распоряжений, из  них в сфере земельных </w:t>
      </w:r>
      <w:r w:rsidRPr="00AF01FB">
        <w:rPr>
          <w:color w:val="000000" w:themeColor="text1"/>
          <w:sz w:val="24"/>
          <w:szCs w:val="24"/>
        </w:rPr>
        <w:t xml:space="preserve">отношений – </w:t>
      </w:r>
      <w:r>
        <w:rPr>
          <w:color w:val="000000" w:themeColor="text1"/>
          <w:sz w:val="24"/>
          <w:szCs w:val="24"/>
        </w:rPr>
        <w:t>552 (из них изменение/определение категории/вида земельного участка -42</w:t>
      </w:r>
      <w:r w:rsidRPr="00AF01FB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lastRenderedPageBreak/>
        <w:t xml:space="preserve">утверждение схем – 215, предварительное согласование- 50, постоянное бессрочное пользование - 22), </w:t>
      </w:r>
      <w:r w:rsidRPr="00AF01FB">
        <w:rPr>
          <w:color w:val="000000" w:themeColor="text1"/>
          <w:sz w:val="24"/>
          <w:szCs w:val="24"/>
        </w:rPr>
        <w:t xml:space="preserve">в сфере имущественных отношений – </w:t>
      </w:r>
      <w:r>
        <w:rPr>
          <w:color w:val="000000" w:themeColor="text1"/>
          <w:sz w:val="24"/>
          <w:szCs w:val="24"/>
        </w:rPr>
        <w:t>188 распоряжений</w:t>
      </w:r>
      <w:r w:rsidRPr="00AF01FB">
        <w:rPr>
          <w:color w:val="000000" w:themeColor="text1"/>
          <w:sz w:val="24"/>
          <w:szCs w:val="24"/>
        </w:rPr>
        <w:t xml:space="preserve">.  </w:t>
      </w:r>
    </w:p>
    <w:p w:rsidR="00481DC2" w:rsidRPr="00AF01FB" w:rsidRDefault="00481DC2" w:rsidP="00481DC2">
      <w:pPr>
        <w:ind w:firstLine="567"/>
        <w:jc w:val="both"/>
        <w:rPr>
          <w:color w:val="000000" w:themeColor="text1"/>
          <w:sz w:val="24"/>
          <w:szCs w:val="24"/>
        </w:rPr>
      </w:pPr>
      <w:r w:rsidRPr="00AF01FB">
        <w:rPr>
          <w:color w:val="000000" w:themeColor="text1"/>
          <w:sz w:val="24"/>
          <w:szCs w:val="24"/>
        </w:rPr>
        <w:t>Указанные объемы подготовленных документов свидетельствуют об активном   участии граждан и юридических лиц в оформлении прав на земельные участки,   приведению в соответствие с действующим законодательством правоустанавливающих  документов, что способствует вовлечению в оборот земельных участков, укреплению  доходной базы соответствующих бюджетов не только в виде арендной платы, но и  налоговых поступлений.</w:t>
      </w:r>
    </w:p>
    <w:p w:rsidR="00481DC2" w:rsidRPr="00883287" w:rsidRDefault="00481DC2" w:rsidP="00481DC2">
      <w:pPr>
        <w:ind w:firstLine="567"/>
        <w:jc w:val="both"/>
        <w:rPr>
          <w:color w:val="000000" w:themeColor="text1"/>
          <w:sz w:val="24"/>
          <w:szCs w:val="24"/>
        </w:rPr>
      </w:pPr>
      <w:r w:rsidRPr="00AF01FB">
        <w:rPr>
          <w:color w:val="000000" w:themeColor="text1"/>
          <w:sz w:val="24"/>
          <w:szCs w:val="24"/>
        </w:rPr>
        <w:t>В целях увеличения эффекта от предоставления земель Управлением    подготовлено, организовано и проведено в 201</w:t>
      </w:r>
      <w:r>
        <w:rPr>
          <w:color w:val="000000" w:themeColor="text1"/>
          <w:sz w:val="24"/>
          <w:szCs w:val="24"/>
        </w:rPr>
        <w:t>7</w:t>
      </w:r>
      <w:r w:rsidRPr="00AF01FB">
        <w:rPr>
          <w:color w:val="000000" w:themeColor="text1"/>
          <w:sz w:val="24"/>
          <w:szCs w:val="24"/>
        </w:rPr>
        <w:t xml:space="preserve"> году</w:t>
      </w:r>
      <w:r w:rsidRPr="00AF01FB">
        <w:rPr>
          <w:i/>
          <w:color w:val="000000" w:themeColor="text1"/>
          <w:sz w:val="24"/>
          <w:szCs w:val="24"/>
        </w:rPr>
        <w:t xml:space="preserve"> </w:t>
      </w:r>
      <w:r w:rsidRPr="00233443">
        <w:rPr>
          <w:color w:val="000000" w:themeColor="text1"/>
          <w:sz w:val="24"/>
          <w:szCs w:val="24"/>
        </w:rPr>
        <w:t>4</w:t>
      </w:r>
      <w:r>
        <w:rPr>
          <w:i/>
          <w:color w:val="000000" w:themeColor="text1"/>
          <w:sz w:val="24"/>
          <w:szCs w:val="24"/>
        </w:rPr>
        <w:t xml:space="preserve"> </w:t>
      </w:r>
      <w:r w:rsidRPr="00F96EA6">
        <w:rPr>
          <w:color w:val="000000" w:themeColor="text1"/>
          <w:sz w:val="24"/>
          <w:szCs w:val="24"/>
        </w:rPr>
        <w:t>(в 201</w:t>
      </w:r>
      <w:r>
        <w:rPr>
          <w:color w:val="000000" w:themeColor="text1"/>
          <w:sz w:val="24"/>
          <w:szCs w:val="24"/>
        </w:rPr>
        <w:t>6</w:t>
      </w:r>
      <w:r w:rsidRPr="00F96EA6">
        <w:rPr>
          <w:color w:val="000000" w:themeColor="text1"/>
          <w:sz w:val="24"/>
          <w:szCs w:val="24"/>
        </w:rPr>
        <w:t xml:space="preserve"> году -</w:t>
      </w:r>
      <w:r>
        <w:rPr>
          <w:color w:val="000000" w:themeColor="text1"/>
          <w:sz w:val="24"/>
          <w:szCs w:val="24"/>
        </w:rPr>
        <w:t>7</w:t>
      </w:r>
      <w:r w:rsidRPr="00F96EA6">
        <w:rPr>
          <w:color w:val="000000" w:themeColor="text1"/>
          <w:sz w:val="24"/>
          <w:szCs w:val="24"/>
        </w:rPr>
        <w:t>/</w:t>
      </w:r>
      <w:r w:rsidRPr="00CC141F">
        <w:rPr>
          <w:i/>
          <w:color w:val="FF0000"/>
          <w:sz w:val="24"/>
          <w:szCs w:val="24"/>
        </w:rPr>
        <w:t xml:space="preserve"> </w:t>
      </w:r>
      <w:r w:rsidRPr="00F96EA6">
        <w:rPr>
          <w:color w:val="000000" w:themeColor="text1"/>
          <w:sz w:val="24"/>
          <w:szCs w:val="24"/>
        </w:rPr>
        <w:t>выставлен</w:t>
      </w:r>
      <w:r>
        <w:rPr>
          <w:color w:val="000000" w:themeColor="text1"/>
          <w:sz w:val="24"/>
          <w:szCs w:val="24"/>
        </w:rPr>
        <w:t>о</w:t>
      </w:r>
      <w:r w:rsidRPr="00F96EA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22</w:t>
      </w:r>
      <w:r w:rsidRPr="00F96EA6">
        <w:rPr>
          <w:color w:val="000000" w:themeColor="text1"/>
          <w:sz w:val="24"/>
          <w:szCs w:val="24"/>
        </w:rPr>
        <w:t xml:space="preserve"> лот</w:t>
      </w:r>
      <w:r>
        <w:rPr>
          <w:color w:val="000000" w:themeColor="text1"/>
          <w:sz w:val="24"/>
          <w:szCs w:val="24"/>
        </w:rPr>
        <w:t>а</w:t>
      </w:r>
      <w:r w:rsidRPr="00F96EA6">
        <w:rPr>
          <w:color w:val="000000" w:themeColor="text1"/>
          <w:sz w:val="24"/>
          <w:szCs w:val="24"/>
        </w:rPr>
        <w:t>) аукцион</w:t>
      </w:r>
      <w:r>
        <w:rPr>
          <w:color w:val="000000" w:themeColor="text1"/>
          <w:sz w:val="24"/>
          <w:szCs w:val="24"/>
        </w:rPr>
        <w:t>а</w:t>
      </w:r>
      <w:r w:rsidRPr="00F96EA6">
        <w:rPr>
          <w:color w:val="000000" w:themeColor="text1"/>
          <w:sz w:val="24"/>
          <w:szCs w:val="24"/>
        </w:rPr>
        <w:t xml:space="preserve"> (выставлен</w:t>
      </w:r>
      <w:r>
        <w:rPr>
          <w:color w:val="000000" w:themeColor="text1"/>
          <w:sz w:val="24"/>
          <w:szCs w:val="24"/>
        </w:rPr>
        <w:t>о</w:t>
      </w:r>
      <w:r w:rsidRPr="00F96EA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18</w:t>
      </w:r>
      <w:r w:rsidRPr="00F96EA6">
        <w:rPr>
          <w:color w:val="000000" w:themeColor="text1"/>
          <w:sz w:val="24"/>
          <w:szCs w:val="24"/>
        </w:rPr>
        <w:t xml:space="preserve"> лот</w:t>
      </w:r>
      <w:r>
        <w:rPr>
          <w:color w:val="000000" w:themeColor="text1"/>
          <w:sz w:val="24"/>
          <w:szCs w:val="24"/>
        </w:rPr>
        <w:t>ов</w:t>
      </w:r>
      <w:r w:rsidRPr="00F96EA6">
        <w:rPr>
          <w:color w:val="000000" w:themeColor="text1"/>
          <w:sz w:val="24"/>
          <w:szCs w:val="24"/>
        </w:rPr>
        <w:t>) в виде торгов по продаже права на заключение договоров аренды и продаже в собственность земельных участков. По результатам аукционов</w:t>
      </w:r>
      <w:r>
        <w:rPr>
          <w:i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  <w:r w:rsidRPr="00F96EA6">
        <w:rPr>
          <w:color w:val="000000" w:themeColor="text1"/>
          <w:sz w:val="24"/>
          <w:szCs w:val="24"/>
        </w:rPr>
        <w:t xml:space="preserve"> (в 201</w:t>
      </w:r>
      <w:r>
        <w:rPr>
          <w:color w:val="000000" w:themeColor="text1"/>
          <w:sz w:val="24"/>
          <w:szCs w:val="24"/>
        </w:rPr>
        <w:t>6</w:t>
      </w:r>
      <w:r w:rsidRPr="00F96EA6">
        <w:rPr>
          <w:color w:val="000000" w:themeColor="text1"/>
          <w:sz w:val="24"/>
          <w:szCs w:val="24"/>
        </w:rPr>
        <w:t xml:space="preserve"> году -</w:t>
      </w:r>
      <w:r>
        <w:rPr>
          <w:color w:val="000000" w:themeColor="text1"/>
          <w:sz w:val="24"/>
          <w:szCs w:val="24"/>
        </w:rPr>
        <w:t>6</w:t>
      </w:r>
      <w:r w:rsidRPr="00F96EA6">
        <w:rPr>
          <w:color w:val="000000" w:themeColor="text1"/>
          <w:sz w:val="24"/>
          <w:szCs w:val="24"/>
        </w:rPr>
        <w:t>) земельных участк</w:t>
      </w:r>
      <w:r>
        <w:rPr>
          <w:color w:val="000000" w:themeColor="text1"/>
          <w:sz w:val="24"/>
          <w:szCs w:val="24"/>
        </w:rPr>
        <w:t>ов</w:t>
      </w:r>
      <w:r w:rsidRPr="00F96EA6">
        <w:rPr>
          <w:color w:val="000000" w:themeColor="text1"/>
          <w:sz w:val="24"/>
          <w:szCs w:val="24"/>
        </w:rPr>
        <w:t xml:space="preserve"> предоставлено в собственность и в аренду на сумму</w:t>
      </w:r>
      <w:r w:rsidRPr="00F96EA6">
        <w:rPr>
          <w:i/>
          <w:color w:val="000000" w:themeColor="text1"/>
          <w:sz w:val="24"/>
          <w:szCs w:val="24"/>
        </w:rPr>
        <w:t xml:space="preserve"> </w:t>
      </w:r>
      <w:r w:rsidRPr="00883287">
        <w:rPr>
          <w:color w:val="000000" w:themeColor="text1"/>
          <w:sz w:val="24"/>
          <w:szCs w:val="24"/>
        </w:rPr>
        <w:t>531,7</w:t>
      </w:r>
      <w:r>
        <w:rPr>
          <w:color w:val="000000" w:themeColor="text1"/>
          <w:sz w:val="24"/>
          <w:szCs w:val="24"/>
        </w:rPr>
        <w:t xml:space="preserve"> </w:t>
      </w:r>
      <w:r w:rsidRPr="00883287">
        <w:rPr>
          <w:color w:val="000000" w:themeColor="text1"/>
          <w:sz w:val="24"/>
          <w:szCs w:val="24"/>
        </w:rPr>
        <w:t>тыс.</w:t>
      </w:r>
      <w:r>
        <w:rPr>
          <w:color w:val="000000" w:themeColor="text1"/>
          <w:sz w:val="24"/>
          <w:szCs w:val="24"/>
        </w:rPr>
        <w:t xml:space="preserve"> </w:t>
      </w:r>
      <w:r w:rsidRPr="00883287">
        <w:rPr>
          <w:color w:val="000000" w:themeColor="text1"/>
          <w:sz w:val="24"/>
          <w:szCs w:val="24"/>
        </w:rPr>
        <w:t>руб. (в 201</w:t>
      </w:r>
      <w:r>
        <w:rPr>
          <w:color w:val="000000" w:themeColor="text1"/>
          <w:sz w:val="24"/>
          <w:szCs w:val="24"/>
        </w:rPr>
        <w:t>6</w:t>
      </w:r>
      <w:r w:rsidRPr="00883287">
        <w:rPr>
          <w:color w:val="000000" w:themeColor="text1"/>
          <w:sz w:val="24"/>
          <w:szCs w:val="24"/>
        </w:rPr>
        <w:t xml:space="preserve"> -143,7 тыс. руб.).   </w:t>
      </w:r>
    </w:p>
    <w:p w:rsidR="00481DC2" w:rsidRDefault="00481DC2" w:rsidP="00481DC2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83287">
        <w:rPr>
          <w:color w:val="FF0000"/>
          <w:sz w:val="24"/>
          <w:szCs w:val="24"/>
        </w:rPr>
        <w:t xml:space="preserve">   </w:t>
      </w:r>
    </w:p>
    <w:p w:rsidR="00481DC2" w:rsidRDefault="00481DC2" w:rsidP="00481DC2">
      <w:pPr>
        <w:ind w:firstLine="5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Муниципальный земельный контроль </w:t>
      </w:r>
    </w:p>
    <w:p w:rsidR="00481DC2" w:rsidRDefault="00481DC2" w:rsidP="00481DC2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481DC2" w:rsidRDefault="00481DC2" w:rsidP="00481DC2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Полномочия по осуществлению муниципального земельного контроля на межселенной территории муниципального района и в границах поселений, входящих в состав района (с марта </w:t>
      </w:r>
      <w:r w:rsidRPr="002F2365">
        <w:rPr>
          <w:color w:val="000000" w:themeColor="text1"/>
          <w:sz w:val="24"/>
          <w:szCs w:val="24"/>
        </w:rPr>
        <w:t>2017 год</w:t>
      </w:r>
      <w:r>
        <w:rPr>
          <w:color w:val="000000" w:themeColor="text1"/>
          <w:sz w:val="24"/>
          <w:szCs w:val="24"/>
        </w:rPr>
        <w:t>а), в соответствии с решением Представительного Собрания Белозерского муниципального района от 28.02.2017 №10 «О внесении дополнений в решение Представительного Собрания от 31.03.2015 №29», на основании Решения Совета города Белозерск от 05.04.2017 №24, Соглашением между администрацией муниципального образования «город</w:t>
      </w:r>
      <w:proofErr w:type="gramEnd"/>
      <w:r>
        <w:rPr>
          <w:color w:val="000000" w:themeColor="text1"/>
          <w:sz w:val="24"/>
          <w:szCs w:val="24"/>
        </w:rPr>
        <w:t xml:space="preserve"> Белозерск» и Управлением имущественных отношений Белозерского муниципального района о передаче полномочий по осуществлению муниципального земельного контроля в границах муниципального образования «город Белозерск», возложены на Управление (с 10.04.2017 года).</w:t>
      </w:r>
    </w:p>
    <w:p w:rsidR="00481DC2" w:rsidRPr="002F2365" w:rsidRDefault="00481DC2" w:rsidP="00481DC2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2017 году проведено 63 внеплановых выездных проверки, в </w:t>
      </w:r>
      <w:proofErr w:type="spellStart"/>
      <w:r>
        <w:rPr>
          <w:color w:val="000000" w:themeColor="text1"/>
          <w:sz w:val="24"/>
          <w:szCs w:val="24"/>
        </w:rPr>
        <w:t>т.ч</w:t>
      </w:r>
      <w:proofErr w:type="spellEnd"/>
      <w:r>
        <w:rPr>
          <w:color w:val="000000" w:themeColor="text1"/>
          <w:sz w:val="24"/>
          <w:szCs w:val="24"/>
        </w:rPr>
        <w:t xml:space="preserve">. по обращениям граждан -9, по результатам которых выявлено и направлено в Управление </w:t>
      </w:r>
      <w:proofErr w:type="spellStart"/>
      <w:r>
        <w:rPr>
          <w:color w:val="000000" w:themeColor="text1"/>
          <w:sz w:val="24"/>
          <w:szCs w:val="24"/>
        </w:rPr>
        <w:t>Росреестра</w:t>
      </w:r>
      <w:proofErr w:type="spellEnd"/>
      <w:r>
        <w:rPr>
          <w:color w:val="000000" w:themeColor="text1"/>
          <w:sz w:val="24"/>
          <w:szCs w:val="24"/>
        </w:rPr>
        <w:t xml:space="preserve"> по Вологодской области для составления протоколов об административной ответственности и привлечения к административной ответственности 14 материалов (к административной ответственности Управлением </w:t>
      </w:r>
      <w:proofErr w:type="spellStart"/>
      <w:r>
        <w:rPr>
          <w:color w:val="000000" w:themeColor="text1"/>
          <w:sz w:val="24"/>
          <w:szCs w:val="24"/>
        </w:rPr>
        <w:t>Росреестра</w:t>
      </w:r>
      <w:proofErr w:type="spellEnd"/>
      <w:r>
        <w:rPr>
          <w:color w:val="000000" w:themeColor="text1"/>
          <w:sz w:val="24"/>
          <w:szCs w:val="24"/>
        </w:rPr>
        <w:t xml:space="preserve"> по Вологодской области привлечено 11 нарушителей, сумма наложенных административных штрафов составила 55 тыс. рублей).</w:t>
      </w:r>
      <w:proofErr w:type="gramEnd"/>
      <w:r>
        <w:rPr>
          <w:color w:val="000000" w:themeColor="text1"/>
          <w:sz w:val="24"/>
          <w:szCs w:val="24"/>
        </w:rPr>
        <w:t xml:space="preserve"> Выдано 36 предписаний об устранении нарушений обязательных требований земельного законодательства. </w:t>
      </w:r>
    </w:p>
    <w:p w:rsidR="00481DC2" w:rsidRPr="00F96EA6" w:rsidRDefault="00481DC2" w:rsidP="00481DC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F96EA6">
        <w:rPr>
          <w:b/>
          <w:color w:val="000000" w:themeColor="text1"/>
          <w:sz w:val="24"/>
          <w:szCs w:val="24"/>
        </w:rPr>
        <w:t>Защита  интересов района в  судебном порядке</w:t>
      </w:r>
    </w:p>
    <w:p w:rsidR="00481DC2" w:rsidRPr="00CC141F" w:rsidRDefault="00481DC2" w:rsidP="00481DC2">
      <w:pPr>
        <w:ind w:firstLine="567"/>
        <w:jc w:val="center"/>
        <w:rPr>
          <w:b/>
          <w:i/>
          <w:color w:val="FF0000"/>
          <w:sz w:val="24"/>
          <w:szCs w:val="24"/>
        </w:rPr>
      </w:pPr>
    </w:p>
    <w:p w:rsidR="00481DC2" w:rsidRPr="00B66687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К компетенции Управления относятся вопросы регулирования земельно-имущественного блока, что связано с применением разного отраслевого законодательства, порой противоречивого. В связи с чем, нередко, в применении права возникают спорные ситуации, разрешение которых осуществляется в том числе, в судебном порядке.</w:t>
      </w:r>
    </w:p>
    <w:p w:rsidR="00481DC2" w:rsidRPr="00B66687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 отчетный период Управление принимало участие в судебных заседаниях при рассмотрении споров в сфере имущественных и земельных правоотношений по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69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(в 201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B66687">
        <w:rPr>
          <w:color w:val="000000" w:themeColor="text1"/>
          <w:sz w:val="24"/>
          <w:szCs w:val="24"/>
        </w:rPr>
        <w:t>году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- 5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) дел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ам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 различным процессуальным участием в качестве истца/ответчика (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28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), третьего лица </w:t>
      </w:r>
      <w:r w:rsidRPr="00B13879">
        <w:rPr>
          <w:rFonts w:eastAsiaTheme="minorHAnsi"/>
          <w:color w:val="000000" w:themeColor="text1"/>
          <w:sz w:val="24"/>
          <w:szCs w:val="24"/>
          <w:lang w:eastAsia="en-US"/>
        </w:rPr>
        <w:t>(6).</w:t>
      </w:r>
      <w:r w:rsidRPr="00B66687"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Специалисты Управления также обеспечивали представление и защиту интересов Администрации района в судах по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26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искам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, в интересах администрации города (9)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481DC2" w:rsidRPr="00B66687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Категории дел, подлежащих рассмотрению в судах, разнообразны и характеризуют все сферы деятельности Управления, а именно:</w:t>
      </w:r>
    </w:p>
    <w:p w:rsidR="00481DC2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- о взыскании задолженности;</w:t>
      </w:r>
    </w:p>
    <w:p w:rsidR="00481DC2" w:rsidRPr="00B66687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- о расторжении договоров аренды;</w:t>
      </w:r>
    </w:p>
    <w:p w:rsidR="00481DC2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- о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б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установлении </w:t>
      </w: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границ земельных участков;</w:t>
      </w:r>
    </w:p>
    <w:p w:rsidR="00481DC2" w:rsidRPr="00B66687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о снятии объекта с кадастрового учета;</w:t>
      </w:r>
    </w:p>
    <w:p w:rsidR="00481DC2" w:rsidRPr="00B66687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- о признании права муниципальной собственности на объекты недвижимого имущества;</w:t>
      </w:r>
    </w:p>
    <w:p w:rsidR="00481DC2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66687">
        <w:rPr>
          <w:rFonts w:eastAsiaTheme="minorHAnsi"/>
          <w:color w:val="000000" w:themeColor="text1"/>
          <w:sz w:val="24"/>
          <w:szCs w:val="24"/>
          <w:lang w:eastAsia="en-US"/>
        </w:rPr>
        <w:t>- о праве пользования объектом недвижимого имущества;</w:t>
      </w:r>
    </w:p>
    <w:p w:rsidR="00481DC2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о признании </w:t>
      </w:r>
      <w:proofErr w:type="gramStart"/>
      <w:r>
        <w:rPr>
          <w:rFonts w:eastAsiaTheme="minorHAnsi"/>
          <w:color w:val="000000" w:themeColor="text1"/>
          <w:sz w:val="24"/>
          <w:szCs w:val="24"/>
          <w:lang w:eastAsia="en-US"/>
        </w:rPr>
        <w:t>незаконным</w:t>
      </w:r>
      <w:proofErr w:type="gramEnd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действий (бездействий) органов местного самоуправления;</w:t>
      </w:r>
    </w:p>
    <w:p w:rsidR="00481DC2" w:rsidRDefault="00481DC2" w:rsidP="00481DC2">
      <w:pPr>
        <w:overflowPunct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о государственной регистрации права.</w:t>
      </w:r>
    </w:p>
    <w:p w:rsidR="00481DC2" w:rsidRPr="00B977E6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977E6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Значительную часть дел составляют дела о взыскании задолженности 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расторжении договоров аренды</w:t>
      </w:r>
      <w:r w:rsidRPr="00B977E6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судебном порядке.</w:t>
      </w:r>
    </w:p>
    <w:p w:rsidR="00481DC2" w:rsidRPr="00B64E81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7E6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Управлением проводилась работа по взысканию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задолженности, в  том числе по ранее возникшим обязательствам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1162,06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лей,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инициировались  обращения  в  суд  в  интересах собственности  района, так взыскано  задолженности по решению суда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424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(из них взыскано- 335,45 тыс. рублей),</w:t>
      </w:r>
      <w:r w:rsidRPr="00CC14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81DC2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F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претензий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737,97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оплата по претензиям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522,3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1DC2" w:rsidRPr="00B64E81" w:rsidRDefault="00481DC2" w:rsidP="00481D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Подано 20 исков о задолженности.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решению суда 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расторгнуто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договора аренды</w:t>
      </w:r>
      <w:r w:rsidRPr="00B64E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1DC2" w:rsidRPr="00B64E81" w:rsidRDefault="00481DC2" w:rsidP="00481D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DC2" w:rsidRDefault="00481DC2" w:rsidP="00481DC2">
      <w:pPr>
        <w:overflowPunct/>
        <w:jc w:val="center"/>
        <w:textAlignment w:val="auto"/>
        <w:rPr>
          <w:b/>
          <w:color w:val="000000" w:themeColor="text1"/>
          <w:sz w:val="24"/>
          <w:szCs w:val="24"/>
        </w:rPr>
      </w:pPr>
    </w:p>
    <w:p w:rsidR="00481DC2" w:rsidRPr="00820E54" w:rsidRDefault="00481DC2" w:rsidP="00481DC2">
      <w:pPr>
        <w:overflowPunct/>
        <w:jc w:val="center"/>
        <w:textAlignment w:val="auto"/>
        <w:rPr>
          <w:b/>
          <w:color w:val="000000" w:themeColor="text1"/>
          <w:sz w:val="24"/>
          <w:szCs w:val="24"/>
        </w:rPr>
      </w:pPr>
      <w:r w:rsidRPr="00820E54">
        <w:rPr>
          <w:b/>
          <w:color w:val="000000" w:themeColor="text1"/>
          <w:sz w:val="24"/>
          <w:szCs w:val="24"/>
        </w:rPr>
        <w:t>Информационная  открытость управления</w:t>
      </w:r>
    </w:p>
    <w:p w:rsidR="00481DC2" w:rsidRPr="00CC141F" w:rsidRDefault="00481DC2" w:rsidP="00481DC2">
      <w:pPr>
        <w:overflowPunct/>
        <w:jc w:val="center"/>
        <w:textAlignment w:val="auto"/>
        <w:rPr>
          <w:b/>
          <w:i/>
          <w:color w:val="FF0000"/>
          <w:sz w:val="24"/>
          <w:szCs w:val="24"/>
        </w:rPr>
      </w:pPr>
    </w:p>
    <w:p w:rsidR="00481DC2" w:rsidRPr="00820E54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20E54">
        <w:rPr>
          <w:rFonts w:eastAsiaTheme="minorHAnsi"/>
          <w:color w:val="000000" w:themeColor="text1"/>
          <w:sz w:val="24"/>
          <w:szCs w:val="24"/>
          <w:lang w:eastAsia="en-US"/>
        </w:rPr>
        <w:t>Управлением уделяется большое внимание внедрению и развитию такой формы общения с населением как официальный интернет-сайт. На сайте Управления размещаются сведения, информирующие о предоставляемых гражданам муниципальных услугах, об управлении и распоряжении имуществом Белозерского района, земельными участками, в том числе аукционах, формах заявлений и перечнях прилагаемых к заявлению документов и т.д.</w:t>
      </w:r>
    </w:p>
    <w:p w:rsidR="00481DC2" w:rsidRPr="00820E54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20E5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помещениях Управления, в местах предоставления муниципальных услуг размещаются информационные стенды, содержащие информацию о режиме работы Управления, специалистах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  <w:r w:rsidRPr="00820E54">
        <w:rPr>
          <w:rFonts w:eastAsiaTheme="minorHAnsi"/>
          <w:color w:val="000000" w:themeColor="text1"/>
          <w:sz w:val="24"/>
          <w:szCs w:val="24"/>
          <w:lang w:eastAsia="en-US"/>
        </w:rPr>
        <w:t>правления и их контактных телефонах, порядке предоставления муниципальных услуг и т.д.</w:t>
      </w:r>
    </w:p>
    <w:p w:rsidR="00481DC2" w:rsidRPr="00CC141F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bCs/>
          <w:i/>
          <w:color w:val="FF0000"/>
          <w:sz w:val="24"/>
          <w:szCs w:val="24"/>
          <w:lang w:eastAsia="en-US"/>
        </w:rPr>
      </w:pPr>
    </w:p>
    <w:p w:rsidR="00481DC2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:rsidR="00481DC2" w:rsidRPr="00820E54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820E54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Работа </w:t>
      </w:r>
      <w:r w:rsidRPr="00820E54">
        <w:rPr>
          <w:rFonts w:eastAsiaTheme="minorHAnsi"/>
          <w:b/>
          <w:color w:val="000000" w:themeColor="text1"/>
          <w:sz w:val="24"/>
          <w:szCs w:val="24"/>
          <w:lang w:eastAsia="en-US"/>
        </w:rPr>
        <w:t>с обращениями граждан</w:t>
      </w:r>
    </w:p>
    <w:p w:rsidR="00481DC2" w:rsidRPr="00CC141F" w:rsidRDefault="00481DC2" w:rsidP="00481DC2">
      <w:pPr>
        <w:overflowPunct/>
        <w:ind w:firstLine="567"/>
        <w:jc w:val="center"/>
        <w:textAlignment w:val="auto"/>
        <w:rPr>
          <w:rFonts w:eastAsiaTheme="minorHAnsi"/>
          <w:b/>
          <w:i/>
          <w:color w:val="FF0000"/>
          <w:sz w:val="24"/>
          <w:szCs w:val="24"/>
          <w:lang w:eastAsia="en-US"/>
        </w:rPr>
      </w:pPr>
    </w:p>
    <w:p w:rsidR="00481DC2" w:rsidRPr="00820E54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20E54">
        <w:rPr>
          <w:rFonts w:eastAsiaTheme="minorHAnsi"/>
          <w:color w:val="000000" w:themeColor="text1"/>
          <w:sz w:val="24"/>
          <w:szCs w:val="24"/>
          <w:lang w:eastAsia="en-US"/>
        </w:rPr>
        <w:t>Работа с обращениями граждан Управлением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481DC2" w:rsidRPr="007A1314" w:rsidRDefault="00481DC2" w:rsidP="00481DC2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За 201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 в Управление поступило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390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(в 201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463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) письменных обращени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й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и заявлений 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граждан. Наиболее актуальными вопросами для граждан в 201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году являлись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 предоставлени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земельных участков, проведени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кадастровых работ по установлению границ земельных участков,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муниципальный земельный контроль, 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взимани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платежей за землю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, приватизация жилья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. По всем обращениям Управлением давались своевременные и исчерпывающие ответы на поставленные вопросы, а также конкретные рекомендации по разрешению той или иной ситуации.</w:t>
      </w:r>
    </w:p>
    <w:p w:rsidR="00481DC2" w:rsidRPr="007A1314" w:rsidRDefault="00481DC2" w:rsidP="00481DC2">
      <w:pPr>
        <w:pStyle w:val="ab"/>
        <w:jc w:val="center"/>
        <w:rPr>
          <w:color w:val="000000" w:themeColor="text1"/>
          <w:sz w:val="24"/>
          <w:szCs w:val="24"/>
        </w:rPr>
      </w:pPr>
      <w:r w:rsidRPr="007A1314">
        <w:rPr>
          <w:b/>
          <w:color w:val="000000" w:themeColor="text1"/>
          <w:sz w:val="24"/>
          <w:szCs w:val="24"/>
        </w:rPr>
        <w:t>В планах на 201</w:t>
      </w:r>
      <w:r>
        <w:rPr>
          <w:b/>
          <w:color w:val="000000" w:themeColor="text1"/>
          <w:sz w:val="24"/>
          <w:szCs w:val="24"/>
        </w:rPr>
        <w:t>8</w:t>
      </w:r>
      <w:r w:rsidRPr="007A1314">
        <w:rPr>
          <w:b/>
          <w:color w:val="000000" w:themeColor="text1"/>
          <w:sz w:val="24"/>
          <w:szCs w:val="24"/>
        </w:rPr>
        <w:t xml:space="preserve"> год</w:t>
      </w:r>
      <w:r w:rsidRPr="007A1314">
        <w:rPr>
          <w:color w:val="000000" w:themeColor="text1"/>
          <w:sz w:val="24"/>
          <w:szCs w:val="24"/>
        </w:rPr>
        <w:t>:</w:t>
      </w:r>
    </w:p>
    <w:p w:rsidR="00481DC2" w:rsidRPr="007A1314" w:rsidRDefault="00481DC2" w:rsidP="00481DC2">
      <w:pPr>
        <w:pStyle w:val="ab"/>
        <w:jc w:val="center"/>
        <w:rPr>
          <w:color w:val="000000" w:themeColor="text1"/>
          <w:sz w:val="24"/>
          <w:szCs w:val="24"/>
        </w:rPr>
      </w:pPr>
    </w:p>
    <w:p w:rsidR="00481DC2" w:rsidRPr="007A1314" w:rsidRDefault="00481DC2" w:rsidP="00481DC2">
      <w:pPr>
        <w:pStyle w:val="ab"/>
        <w:rPr>
          <w:color w:val="000000" w:themeColor="text1"/>
          <w:sz w:val="24"/>
          <w:szCs w:val="24"/>
        </w:rPr>
      </w:pPr>
      <w:r w:rsidRPr="007A1314">
        <w:rPr>
          <w:color w:val="000000" w:themeColor="text1"/>
          <w:sz w:val="24"/>
          <w:szCs w:val="24"/>
        </w:rPr>
        <w:t>- реализация плана Приватизации 201</w:t>
      </w:r>
      <w:r>
        <w:rPr>
          <w:color w:val="000000" w:themeColor="text1"/>
          <w:sz w:val="24"/>
          <w:szCs w:val="24"/>
        </w:rPr>
        <w:t>8</w:t>
      </w:r>
      <w:r w:rsidRPr="007A1314">
        <w:rPr>
          <w:color w:val="000000" w:themeColor="text1"/>
          <w:sz w:val="24"/>
          <w:szCs w:val="24"/>
        </w:rPr>
        <w:t>-20</w:t>
      </w:r>
      <w:r>
        <w:rPr>
          <w:color w:val="000000" w:themeColor="text1"/>
          <w:sz w:val="24"/>
          <w:szCs w:val="24"/>
        </w:rPr>
        <w:t>20</w:t>
      </w:r>
      <w:r w:rsidRPr="007A1314">
        <w:rPr>
          <w:color w:val="000000" w:themeColor="text1"/>
          <w:sz w:val="24"/>
          <w:szCs w:val="24"/>
        </w:rPr>
        <w:t xml:space="preserve"> годов, подготовить дополнительно выявленные объекты к приватизации;  </w:t>
      </w:r>
    </w:p>
    <w:p w:rsidR="00481DC2" w:rsidRPr="007A1314" w:rsidRDefault="00481DC2" w:rsidP="00481DC2">
      <w:pPr>
        <w:pStyle w:val="ab"/>
        <w:rPr>
          <w:color w:val="000000" w:themeColor="text1"/>
          <w:sz w:val="24"/>
          <w:szCs w:val="24"/>
        </w:rPr>
      </w:pPr>
      <w:r w:rsidRPr="007A1314">
        <w:rPr>
          <w:color w:val="000000" w:themeColor="text1"/>
          <w:sz w:val="24"/>
          <w:szCs w:val="24"/>
        </w:rPr>
        <w:t>- проведение дальнейшей работы по усовершенствованию работы в сфере земельных  отношений, продолжение намеченной работы по реализации действующего  законодательства;</w:t>
      </w:r>
    </w:p>
    <w:p w:rsidR="00481DC2" w:rsidRPr="007A1314" w:rsidRDefault="00481DC2" w:rsidP="00481DC2">
      <w:pPr>
        <w:pStyle w:val="ab"/>
        <w:rPr>
          <w:color w:val="000000" w:themeColor="text1"/>
          <w:sz w:val="24"/>
          <w:szCs w:val="24"/>
        </w:rPr>
      </w:pPr>
      <w:r w:rsidRPr="007A1314">
        <w:rPr>
          <w:color w:val="000000" w:themeColor="text1"/>
          <w:sz w:val="24"/>
          <w:szCs w:val="24"/>
        </w:rPr>
        <w:t>- проведение работы по дополнительному получению доходов в консолидированный бюджет района от использования земельных ресурсов путем проведения торгов;</w:t>
      </w:r>
    </w:p>
    <w:p w:rsidR="00481DC2" w:rsidRPr="007A1314" w:rsidRDefault="00481DC2" w:rsidP="00481DC2">
      <w:pPr>
        <w:pStyle w:val="ab"/>
        <w:rPr>
          <w:color w:val="000000" w:themeColor="text1"/>
          <w:sz w:val="24"/>
          <w:szCs w:val="24"/>
        </w:rPr>
      </w:pPr>
      <w:r w:rsidRPr="007A1314">
        <w:rPr>
          <w:color w:val="000000" w:themeColor="text1"/>
          <w:sz w:val="24"/>
          <w:szCs w:val="24"/>
        </w:rPr>
        <w:t xml:space="preserve">- продолжение работы по формированию и учету земельных участков, готовых к  предоставлению не только по инициативе граждан и юридических лиц, а с целью наличия   </w:t>
      </w:r>
      <w:r w:rsidRPr="007A1314">
        <w:rPr>
          <w:color w:val="000000" w:themeColor="text1"/>
          <w:sz w:val="24"/>
          <w:szCs w:val="24"/>
        </w:rPr>
        <w:lastRenderedPageBreak/>
        <w:t>постоянной базы свободных и перспективных к продаже земельных участков;</w:t>
      </w:r>
    </w:p>
    <w:p w:rsidR="00481DC2" w:rsidRPr="007A1314" w:rsidRDefault="00481DC2" w:rsidP="00481DC2">
      <w:pPr>
        <w:pStyle w:val="ab"/>
        <w:rPr>
          <w:color w:val="000000" w:themeColor="text1"/>
          <w:sz w:val="24"/>
          <w:szCs w:val="24"/>
        </w:rPr>
      </w:pPr>
      <w:r w:rsidRPr="007A1314">
        <w:rPr>
          <w:color w:val="000000" w:themeColor="text1"/>
          <w:sz w:val="24"/>
          <w:szCs w:val="24"/>
        </w:rPr>
        <w:t>- обеспечение земельными участками на бесплатной основе отдельные категории граждан;</w:t>
      </w:r>
    </w:p>
    <w:p w:rsidR="00481DC2" w:rsidRPr="00257951" w:rsidRDefault="00481DC2" w:rsidP="00481DC2">
      <w:pPr>
        <w:shd w:val="clear" w:color="auto" w:fill="FFFFFF"/>
        <w:tabs>
          <w:tab w:val="left" w:pos="1328"/>
        </w:tabs>
        <w:spacing w:before="4" w:line="324" w:lineRule="exact"/>
        <w:jc w:val="both"/>
        <w:rPr>
          <w:sz w:val="24"/>
          <w:szCs w:val="24"/>
        </w:rPr>
      </w:pPr>
      <w:r>
        <w:rPr>
          <w:color w:val="000000" w:themeColor="text1"/>
        </w:rPr>
        <w:t xml:space="preserve">- </w:t>
      </w:r>
      <w:r w:rsidRPr="00257951">
        <w:rPr>
          <w:sz w:val="24"/>
          <w:szCs w:val="24"/>
        </w:rPr>
        <w:t>осуществл</w:t>
      </w:r>
      <w:r>
        <w:rPr>
          <w:sz w:val="24"/>
          <w:szCs w:val="24"/>
        </w:rPr>
        <w:t>ение</w:t>
      </w:r>
      <w:r w:rsidRPr="00257951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57951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57951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257951">
        <w:rPr>
          <w:sz w:val="24"/>
          <w:szCs w:val="24"/>
        </w:rPr>
        <w:t xml:space="preserve"> на территории Белозерского муниципального района</w:t>
      </w:r>
      <w:r>
        <w:rPr>
          <w:sz w:val="24"/>
          <w:szCs w:val="24"/>
        </w:rPr>
        <w:t>;</w:t>
      </w:r>
    </w:p>
    <w:p w:rsidR="00481DC2" w:rsidRPr="007A1314" w:rsidRDefault="00481DC2" w:rsidP="00481DC2">
      <w:pPr>
        <w:pStyle w:val="ab"/>
        <w:rPr>
          <w:color w:val="000000" w:themeColor="text1"/>
          <w:sz w:val="24"/>
          <w:szCs w:val="24"/>
        </w:rPr>
      </w:pPr>
      <w:r w:rsidRPr="007A1314">
        <w:rPr>
          <w:color w:val="000000" w:themeColor="text1"/>
          <w:sz w:val="24"/>
          <w:szCs w:val="24"/>
        </w:rPr>
        <w:t>- о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беспечение</w:t>
      </w:r>
      <w:r w:rsidRPr="007A131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выполнения плана по поступлению неналоговых доходов в районный бюджет, продолжение работы по сокращению дебиторской задолженности;</w:t>
      </w:r>
    </w:p>
    <w:p w:rsidR="00481DC2" w:rsidRPr="007A1314" w:rsidRDefault="00481DC2" w:rsidP="00481DC2">
      <w:pPr>
        <w:overflowPunct/>
        <w:jc w:val="both"/>
        <w:textAlignment w:val="auto"/>
        <w:rPr>
          <w:color w:val="000000" w:themeColor="text1"/>
          <w:sz w:val="24"/>
          <w:szCs w:val="24"/>
        </w:rPr>
      </w:pPr>
      <w:r w:rsidRPr="007A131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7A1314">
        <w:rPr>
          <w:rFonts w:eastAsiaTheme="minorHAnsi"/>
          <w:color w:val="000000" w:themeColor="text1"/>
          <w:sz w:val="24"/>
          <w:szCs w:val="24"/>
          <w:lang w:eastAsia="en-US"/>
        </w:rPr>
        <w:t>обеспечение совершенствования нормативной правовой базы по направлениям деятельности Управления в установленные законодательством сроки</w:t>
      </w:r>
      <w:r w:rsidRPr="007A131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81DC2" w:rsidRPr="00257951" w:rsidRDefault="00481DC2" w:rsidP="00481DC2">
      <w:pPr>
        <w:pStyle w:val="ab"/>
        <w:rPr>
          <w:color w:val="000000" w:themeColor="text1"/>
          <w:sz w:val="24"/>
          <w:szCs w:val="24"/>
        </w:rPr>
      </w:pPr>
    </w:p>
    <w:p w:rsidR="00D16C95" w:rsidRDefault="00D16C95"/>
    <w:sectPr w:rsidR="00D16C95" w:rsidSect="00150303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74071"/>
      <w:docPartObj>
        <w:docPartGallery w:val="Page Numbers (Top of Page)"/>
        <w:docPartUnique/>
      </w:docPartObj>
    </w:sdtPr>
    <w:sdtEndPr/>
    <w:sdtContent>
      <w:p w:rsidR="00B13879" w:rsidRDefault="00481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879" w:rsidRDefault="00481D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71"/>
    <w:multiLevelType w:val="hybridMultilevel"/>
    <w:tmpl w:val="402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AE6"/>
    <w:multiLevelType w:val="hybridMultilevel"/>
    <w:tmpl w:val="5B5E86BE"/>
    <w:lvl w:ilvl="0" w:tplc="15F24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725B3"/>
    <w:multiLevelType w:val="hybridMultilevel"/>
    <w:tmpl w:val="F07EC09C"/>
    <w:lvl w:ilvl="0" w:tplc="358224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9E8"/>
    <w:multiLevelType w:val="hybridMultilevel"/>
    <w:tmpl w:val="323C9E76"/>
    <w:lvl w:ilvl="0" w:tplc="6026EE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041234"/>
    <w:multiLevelType w:val="hybridMultilevel"/>
    <w:tmpl w:val="8D28E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432D0"/>
    <w:multiLevelType w:val="hybridMultilevel"/>
    <w:tmpl w:val="E01AD006"/>
    <w:lvl w:ilvl="0" w:tplc="2A4CED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09B2"/>
    <w:multiLevelType w:val="hybridMultilevel"/>
    <w:tmpl w:val="F07EC09C"/>
    <w:lvl w:ilvl="0" w:tplc="358224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4C"/>
    <w:rsid w:val="00481DC2"/>
    <w:rsid w:val="00A7634C"/>
    <w:rsid w:val="00D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81D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81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1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8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1D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D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81DC2"/>
    <w:pPr>
      <w:widowControl w:val="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81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rsid w:val="00481DC2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Знак1"/>
    <w:basedOn w:val="a"/>
    <w:rsid w:val="00481D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481DC2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481D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81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481DC2"/>
    <w:rPr>
      <w:b/>
      <w:bCs/>
    </w:rPr>
  </w:style>
  <w:style w:type="character" w:customStyle="1" w:styleId="apple-converted-space">
    <w:name w:val="apple-converted-space"/>
    <w:rsid w:val="00481DC2"/>
  </w:style>
  <w:style w:type="paragraph" w:styleId="af1">
    <w:name w:val="Normal (Web)"/>
    <w:basedOn w:val="a"/>
    <w:uiPriority w:val="99"/>
    <w:unhideWhenUsed/>
    <w:rsid w:val="00481D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81D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81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1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8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1D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D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81DC2"/>
    <w:pPr>
      <w:widowControl w:val="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81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rsid w:val="00481DC2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Знак1"/>
    <w:basedOn w:val="a"/>
    <w:rsid w:val="00481D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481DC2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481D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81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481DC2"/>
    <w:rPr>
      <w:b/>
      <w:bCs/>
    </w:rPr>
  </w:style>
  <w:style w:type="character" w:customStyle="1" w:styleId="apple-converted-space">
    <w:name w:val="apple-converted-space"/>
    <w:rsid w:val="00481DC2"/>
  </w:style>
  <w:style w:type="paragraph" w:styleId="af1">
    <w:name w:val="Normal (Web)"/>
    <w:basedOn w:val="a"/>
    <w:uiPriority w:val="99"/>
    <w:unhideWhenUsed/>
    <w:rsid w:val="00481D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3863</Words>
  <Characters>22023</Characters>
  <Application>Microsoft Office Word</Application>
  <DocSecurity>0</DocSecurity>
  <Lines>183</Lines>
  <Paragraphs>51</Paragraphs>
  <ScaleCrop>false</ScaleCrop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2</cp:revision>
  <dcterms:created xsi:type="dcterms:W3CDTF">2018-03-26T12:34:00Z</dcterms:created>
  <dcterms:modified xsi:type="dcterms:W3CDTF">2018-03-26T12:35:00Z</dcterms:modified>
</cp:coreProperties>
</file>